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E3" w:rsidRDefault="00A13BE3" w:rsidP="004D43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6D8A" w:rsidRPr="00E77BD5" w:rsidRDefault="00176D8A" w:rsidP="004D43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7BD5">
        <w:rPr>
          <w:rFonts w:ascii="Times New Roman" w:hAnsi="Times New Roman" w:cs="Times New Roman"/>
          <w:b/>
          <w:sz w:val="20"/>
          <w:szCs w:val="20"/>
        </w:rPr>
        <w:t>Информация о результатах публичных слушаний</w:t>
      </w:r>
    </w:p>
    <w:p w:rsidR="00C32E87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77BD5">
        <w:rPr>
          <w:rFonts w:ascii="Times New Roman" w:hAnsi="Times New Roman" w:cs="Times New Roman"/>
          <w:b/>
          <w:sz w:val="20"/>
          <w:szCs w:val="20"/>
        </w:rPr>
        <w:t>по</w:t>
      </w:r>
      <w:r w:rsidRPr="00E77BD5">
        <w:rPr>
          <w:rFonts w:ascii="Times New Roman" w:hAnsi="Times New Roman" w:cs="Times New Roman"/>
          <w:b/>
          <w:bCs/>
          <w:sz w:val="20"/>
          <w:szCs w:val="20"/>
        </w:rPr>
        <w:t xml:space="preserve"> проекту решения Собрания депутатов Карталинского муниципального района</w:t>
      </w:r>
    </w:p>
    <w:p w:rsidR="005F55C8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77BD5">
        <w:rPr>
          <w:rFonts w:ascii="Times New Roman" w:hAnsi="Times New Roman" w:cs="Times New Roman"/>
          <w:b/>
          <w:bCs/>
          <w:sz w:val="20"/>
          <w:szCs w:val="20"/>
        </w:rPr>
        <w:t>«Об исполнении бюджета Карталинского муниципального района за 20</w:t>
      </w:r>
      <w:r w:rsidR="004418E6" w:rsidRPr="00E77BD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505F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56234" w:rsidRPr="00E77B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b/>
          <w:bCs/>
          <w:sz w:val="20"/>
          <w:szCs w:val="20"/>
        </w:rPr>
        <w:t>год»</w:t>
      </w:r>
    </w:p>
    <w:p w:rsidR="00C32E87" w:rsidRPr="00E77BD5" w:rsidRDefault="00C32E87" w:rsidP="004D439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6D8A" w:rsidRPr="00E77BD5" w:rsidRDefault="005F55C8" w:rsidP="00ED5C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7BD5">
        <w:rPr>
          <w:rFonts w:ascii="Times New Roman" w:eastAsia="Times New Roman" w:hAnsi="Times New Roman" w:cs="Times New Roman"/>
          <w:sz w:val="20"/>
          <w:szCs w:val="20"/>
        </w:rPr>
        <w:t xml:space="preserve">Публичные слушания назначены решением Собрания депутатов Карталинского муниципального района </w:t>
      </w:r>
      <w:r w:rsidR="00737C92" w:rsidRPr="00E505F4">
        <w:rPr>
          <w:rFonts w:ascii="Times New Roman" w:hAnsi="Times New Roman" w:cs="Times New Roman"/>
          <w:sz w:val="20"/>
          <w:szCs w:val="20"/>
        </w:rPr>
        <w:t xml:space="preserve">от </w:t>
      </w:r>
      <w:r w:rsidR="00E505F4" w:rsidRPr="00E505F4">
        <w:rPr>
          <w:rFonts w:ascii="Times New Roman" w:hAnsi="Times New Roman" w:cs="Times New Roman"/>
          <w:sz w:val="20"/>
          <w:szCs w:val="20"/>
        </w:rPr>
        <w:t>25.04.2024 года № 603-Н</w:t>
      </w:r>
      <w:r w:rsidRPr="00E77BD5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E77BD5">
        <w:rPr>
          <w:rFonts w:ascii="Times New Roman" w:eastAsia="Times New Roman" w:hAnsi="Times New Roman" w:cs="Times New Roman"/>
          <w:bCs/>
          <w:sz w:val="20"/>
          <w:szCs w:val="20"/>
        </w:rPr>
        <w:t xml:space="preserve">О назначении и проведении публичных слушаний по проекту решения Собрания депутатов Карталинского муниципального района «Об исполнении бюджета </w:t>
      </w:r>
      <w:r w:rsidRPr="00E77BD5">
        <w:rPr>
          <w:rFonts w:ascii="Times New Roman" w:eastAsia="Times New Roman" w:hAnsi="Times New Roman" w:cs="Times New Roman"/>
          <w:sz w:val="20"/>
          <w:szCs w:val="20"/>
        </w:rPr>
        <w:t>Карталинского муниципального района за 20</w:t>
      </w:r>
      <w:r w:rsidR="004418E6" w:rsidRPr="00E77BD5">
        <w:rPr>
          <w:rFonts w:ascii="Times New Roman" w:eastAsia="Times New Roman" w:hAnsi="Times New Roman" w:cs="Times New Roman"/>
          <w:sz w:val="20"/>
          <w:szCs w:val="20"/>
        </w:rPr>
        <w:t>2</w:t>
      </w:r>
      <w:r w:rsidR="00E505F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77BD5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 w:rsidRPr="00E77BD5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176D8A" w:rsidRPr="00E77BD5">
        <w:rPr>
          <w:rFonts w:ascii="Times New Roman" w:hAnsi="Times New Roman" w:cs="Times New Roman"/>
          <w:sz w:val="20"/>
          <w:szCs w:val="20"/>
        </w:rPr>
        <w:t>.</w:t>
      </w:r>
      <w:r w:rsidR="00532AA1" w:rsidRPr="00E77BD5">
        <w:rPr>
          <w:rFonts w:ascii="Times New Roman" w:hAnsi="Times New Roman" w:cs="Times New Roman"/>
          <w:sz w:val="20"/>
          <w:szCs w:val="20"/>
        </w:rPr>
        <w:t xml:space="preserve"> </w:t>
      </w:r>
      <w:r w:rsidR="00532AA1" w:rsidRPr="00E77BD5">
        <w:rPr>
          <w:rFonts w:ascii="Times New Roman" w:hAnsi="Times New Roman" w:cs="Times New Roman"/>
          <w:bCs/>
          <w:sz w:val="20"/>
          <w:szCs w:val="20"/>
        </w:rPr>
        <w:t>Проект решения Собрания депутатов Карталинского муниципального района «Об исполнении бюджета Карталинского муниципального района за 20</w:t>
      </w:r>
      <w:r w:rsidR="004418E6" w:rsidRPr="00E77BD5">
        <w:rPr>
          <w:rFonts w:ascii="Times New Roman" w:hAnsi="Times New Roman" w:cs="Times New Roman"/>
          <w:bCs/>
          <w:sz w:val="20"/>
          <w:szCs w:val="20"/>
        </w:rPr>
        <w:t>2</w:t>
      </w:r>
      <w:r w:rsidR="00E505F4">
        <w:rPr>
          <w:rFonts w:ascii="Times New Roman" w:hAnsi="Times New Roman" w:cs="Times New Roman"/>
          <w:bCs/>
          <w:sz w:val="20"/>
          <w:szCs w:val="20"/>
        </w:rPr>
        <w:t>3</w:t>
      </w:r>
      <w:r w:rsidR="00532AA1" w:rsidRPr="00E77BD5">
        <w:rPr>
          <w:rFonts w:ascii="Times New Roman" w:hAnsi="Times New Roman" w:cs="Times New Roman"/>
          <w:bCs/>
          <w:sz w:val="20"/>
          <w:szCs w:val="20"/>
        </w:rPr>
        <w:t xml:space="preserve"> год» опубликован </w:t>
      </w:r>
      <w:r w:rsidR="00E505F4" w:rsidRPr="00E505F4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E505F4" w:rsidRPr="00E505F4">
        <w:rPr>
          <w:rFonts w:ascii="Times New Roman" w:hAnsi="Times New Roman" w:cs="Times New Roman"/>
          <w:sz w:val="20"/>
          <w:szCs w:val="20"/>
        </w:rPr>
        <w:t>сетевом издании «Карталинский муниципальный район» (http://www.kartalyraion.ru, регистрация в качестве сетевого издания: ЭЛ № ФС 77-77415 от 17.12.2019)</w:t>
      </w:r>
      <w:r w:rsidR="00737C92" w:rsidRPr="00E77BD5">
        <w:rPr>
          <w:rFonts w:ascii="Times New Roman" w:hAnsi="Times New Roman" w:cs="Times New Roman"/>
          <w:sz w:val="20"/>
          <w:szCs w:val="20"/>
        </w:rPr>
        <w:t>.</w:t>
      </w:r>
    </w:p>
    <w:p w:rsidR="00176D8A" w:rsidRPr="00E77BD5" w:rsidRDefault="00176D8A" w:rsidP="00ED5CB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E77BD5">
        <w:rPr>
          <w:sz w:val="20"/>
          <w:szCs w:val="20"/>
        </w:rPr>
        <w:t xml:space="preserve">Дата, время и место проведения публичных слушаний: </w:t>
      </w:r>
      <w:r w:rsidR="00E505F4">
        <w:rPr>
          <w:sz w:val="20"/>
          <w:szCs w:val="20"/>
        </w:rPr>
        <w:t>23.05</w:t>
      </w:r>
      <w:r w:rsidR="004418E6" w:rsidRPr="00E77BD5">
        <w:rPr>
          <w:sz w:val="20"/>
          <w:szCs w:val="20"/>
        </w:rPr>
        <w:t>.202</w:t>
      </w:r>
      <w:r w:rsidR="00E505F4">
        <w:rPr>
          <w:sz w:val="20"/>
          <w:szCs w:val="20"/>
        </w:rPr>
        <w:t>4</w:t>
      </w:r>
      <w:r w:rsidRPr="00E77BD5">
        <w:rPr>
          <w:sz w:val="20"/>
          <w:szCs w:val="20"/>
        </w:rPr>
        <w:t xml:space="preserve"> г. в 1</w:t>
      </w:r>
      <w:r w:rsidR="00E505F4">
        <w:rPr>
          <w:sz w:val="20"/>
          <w:szCs w:val="20"/>
        </w:rPr>
        <w:t>3</w:t>
      </w:r>
      <w:r w:rsidRPr="00E77BD5">
        <w:rPr>
          <w:sz w:val="20"/>
          <w:szCs w:val="20"/>
        </w:rPr>
        <w:t>.</w:t>
      </w:r>
      <w:r w:rsidR="00256234" w:rsidRPr="00E77BD5">
        <w:rPr>
          <w:sz w:val="20"/>
          <w:szCs w:val="20"/>
        </w:rPr>
        <w:t>3</w:t>
      </w:r>
      <w:r w:rsidRPr="00E77BD5">
        <w:rPr>
          <w:sz w:val="20"/>
          <w:szCs w:val="20"/>
        </w:rPr>
        <w:t>0 ч., администрация</w:t>
      </w:r>
      <w:r w:rsidRPr="00E77BD5">
        <w:rPr>
          <w:bCs/>
          <w:sz w:val="20"/>
          <w:szCs w:val="20"/>
        </w:rPr>
        <w:t xml:space="preserve"> Карталинского муниципального района</w:t>
      </w:r>
      <w:r w:rsidRPr="00E77BD5">
        <w:rPr>
          <w:sz w:val="20"/>
          <w:szCs w:val="20"/>
        </w:rPr>
        <w:t xml:space="preserve">  (г. Карталы,  ул. Ленина, д. 1, зал заседаний).</w:t>
      </w:r>
    </w:p>
    <w:p w:rsidR="001351CC" w:rsidRDefault="005F55C8" w:rsidP="00ED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Участники публичных слушаний, рассмотрев проект решения Собрания депутатов Карталинского муниципального района «Об исполнении бюджета Карталинского муниципального района за 20</w:t>
      </w:r>
      <w:r w:rsidR="004418E6" w:rsidRPr="00E77BD5">
        <w:rPr>
          <w:rFonts w:ascii="Times New Roman" w:hAnsi="Times New Roman" w:cs="Times New Roman"/>
          <w:sz w:val="20"/>
          <w:szCs w:val="20"/>
        </w:rPr>
        <w:t>2</w:t>
      </w:r>
      <w:r w:rsidR="00E505F4">
        <w:rPr>
          <w:rFonts w:ascii="Times New Roman" w:hAnsi="Times New Roman" w:cs="Times New Roman"/>
          <w:sz w:val="20"/>
          <w:szCs w:val="20"/>
        </w:rPr>
        <w:t>3</w:t>
      </w:r>
      <w:r w:rsidRPr="00E77BD5">
        <w:rPr>
          <w:rFonts w:ascii="Times New Roman" w:hAnsi="Times New Roman" w:cs="Times New Roman"/>
          <w:sz w:val="20"/>
          <w:szCs w:val="20"/>
        </w:rPr>
        <w:t xml:space="preserve"> год», отметили следующее:</w:t>
      </w:r>
    </w:p>
    <w:p w:rsidR="001351CC" w:rsidRPr="001351CC" w:rsidRDefault="001351CC" w:rsidP="00ED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51CC">
        <w:rPr>
          <w:rFonts w:ascii="Times New Roman" w:hAnsi="Times New Roman" w:cs="Times New Roman"/>
          <w:sz w:val="20"/>
          <w:szCs w:val="20"/>
        </w:rPr>
        <w:t xml:space="preserve">Бюджет Карталинского муниципального района на 2023 год был утвержден в первоначальной редакции </w:t>
      </w:r>
      <w:r w:rsidRPr="00E77BD5">
        <w:rPr>
          <w:rFonts w:ascii="Times New Roman" w:hAnsi="Times New Roman" w:cs="Times New Roman"/>
          <w:sz w:val="20"/>
          <w:szCs w:val="20"/>
        </w:rPr>
        <w:t>решением</w:t>
      </w:r>
      <w:r w:rsidRPr="001351CC">
        <w:rPr>
          <w:rFonts w:ascii="Times New Roman" w:hAnsi="Times New Roman" w:cs="Times New Roman"/>
          <w:sz w:val="20"/>
          <w:szCs w:val="20"/>
        </w:rPr>
        <w:t xml:space="preserve"> от 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CC">
        <w:rPr>
          <w:rFonts w:ascii="Times New Roman" w:hAnsi="Times New Roman" w:cs="Times New Roman"/>
          <w:sz w:val="20"/>
          <w:szCs w:val="20"/>
        </w:rPr>
        <w:t>декабря 2022 №399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«О бюджете Карталинского муниципального района на 202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 w:rsidRPr="00E77BD5">
        <w:rPr>
          <w:rFonts w:ascii="Times New Roman" w:hAnsi="Times New Roman" w:cs="Times New Roman"/>
          <w:sz w:val="20"/>
          <w:szCs w:val="20"/>
        </w:rPr>
        <w:t>год и на плановый период 202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E77BD5">
        <w:rPr>
          <w:rFonts w:ascii="Times New Roman" w:hAnsi="Times New Roman" w:cs="Times New Roman"/>
          <w:sz w:val="20"/>
          <w:szCs w:val="20"/>
        </w:rPr>
        <w:t>и 202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 w:rsidRPr="00E77BD5">
        <w:rPr>
          <w:rFonts w:ascii="Times New Roman" w:hAnsi="Times New Roman" w:cs="Times New Roman"/>
          <w:sz w:val="20"/>
          <w:szCs w:val="20"/>
        </w:rPr>
        <w:t>годов»</w:t>
      </w:r>
      <w:r w:rsidRPr="001351CC">
        <w:rPr>
          <w:rFonts w:ascii="Times New Roman" w:hAnsi="Times New Roman" w:cs="Times New Roman"/>
          <w:sz w:val="20"/>
          <w:szCs w:val="20"/>
        </w:rPr>
        <w:t xml:space="preserve"> (далее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C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CC">
        <w:rPr>
          <w:rFonts w:ascii="Times New Roman" w:hAnsi="Times New Roman" w:cs="Times New Roman"/>
          <w:sz w:val="20"/>
          <w:szCs w:val="20"/>
        </w:rPr>
        <w:t>Решение №399).</w:t>
      </w:r>
    </w:p>
    <w:p w:rsidR="001351CC" w:rsidRPr="001351CC" w:rsidRDefault="001351CC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51CC">
        <w:rPr>
          <w:rFonts w:ascii="Times New Roman" w:hAnsi="Times New Roman" w:cs="Times New Roman"/>
          <w:sz w:val="20"/>
          <w:szCs w:val="20"/>
        </w:rPr>
        <w:t>- по доходам в сумме 2261125,9 тыс. рублей (в том числе безвозмездные поступления 1661200,6тыс.рублей);</w:t>
      </w:r>
    </w:p>
    <w:p w:rsidR="001351CC" w:rsidRDefault="001351CC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51CC">
        <w:rPr>
          <w:rFonts w:ascii="Times New Roman" w:hAnsi="Times New Roman" w:cs="Times New Roman"/>
          <w:sz w:val="20"/>
          <w:szCs w:val="20"/>
        </w:rPr>
        <w:t xml:space="preserve">- по расходам в сумме 2261125,9 тыс.рублей. </w:t>
      </w:r>
    </w:p>
    <w:p w:rsidR="001351CC" w:rsidRDefault="001351CC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51CC">
        <w:rPr>
          <w:rFonts w:ascii="Times New Roman" w:hAnsi="Times New Roman" w:cs="Times New Roman"/>
          <w:sz w:val="20"/>
          <w:szCs w:val="20"/>
        </w:rPr>
        <w:t xml:space="preserve">Бюджет принят бездефицитным. В приложениях №№4-7 к Решению №399 утверждены функциональная и ведомственная классификации расходов бюджета на 2023год и на плановый период 2024 и 2025 годов. </w:t>
      </w:r>
    </w:p>
    <w:p w:rsidR="001351CC" w:rsidRPr="001351CC" w:rsidRDefault="001351CC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51CC">
        <w:rPr>
          <w:rFonts w:ascii="Times New Roman" w:hAnsi="Times New Roman" w:cs="Times New Roman"/>
          <w:sz w:val="20"/>
          <w:szCs w:val="20"/>
        </w:rPr>
        <w:t xml:space="preserve">В процессе исполнения районного бюджета в 2023 году в Решение №399 внесено 13 изменений и дополнений: решения Собрания депутатов КМР от 26.01.2023 № 417, от 28.02.2023 № 431, от 30.03.2023 №441, от 27.04.2023 №457, от 29.05.2023 №468, от 29.06.2023 № 481, от 03.08.2023 №487, от 31.08.2023 №491, от  26.10.2023 №516, от 30.11.2023 №545, от 14.12.2023 № 556, от 21.12.2023 №561, от 29.12.2023 №568. Внесенные в течение 2023года изменения в бюджетные назначения были обусловлены в основном необходимостью отражения в доходных и расходных частях районного бюджета средств полученных из других бюджетов, уточнения поступлений в отчетном году собственных доходов, а также распределения остатков средств на счете бюджета на 01.01.2023. В соответствии с требованиями статьи 36 БК РФ указанные решения Собрания депутатов о внесении изменений в Решение №399 опубликованы на официальном сайте Администрации Карталинского муниципального района (https://www.kartalyraion.ru).  </w:t>
      </w:r>
    </w:p>
    <w:p w:rsidR="001351CC" w:rsidRPr="001351CC" w:rsidRDefault="001351CC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51CC">
        <w:rPr>
          <w:rFonts w:ascii="Times New Roman" w:hAnsi="Times New Roman" w:cs="Times New Roman"/>
          <w:sz w:val="20"/>
          <w:szCs w:val="20"/>
        </w:rPr>
        <w:t>В последней редакции (решение от 29.12.2023 №568) бюджет Карталинского муниципального района на 2023год утвержден:</w:t>
      </w:r>
    </w:p>
    <w:p w:rsidR="001351CC" w:rsidRPr="001351CC" w:rsidRDefault="001351CC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highlight w:val="yellow"/>
          <w:lang w:eastAsia="en-US"/>
        </w:rPr>
      </w:pPr>
      <w:r w:rsidRPr="001351CC">
        <w:rPr>
          <w:rFonts w:ascii="Times New Roman" w:hAnsi="Times New Roman" w:cs="Times New Roman"/>
          <w:sz w:val="20"/>
          <w:szCs w:val="20"/>
        </w:rPr>
        <w:t>- по доходам 2508446,3 тыс.рублей;</w:t>
      </w:r>
    </w:p>
    <w:p w:rsidR="001351CC" w:rsidRPr="001351CC" w:rsidRDefault="001351CC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51CC">
        <w:rPr>
          <w:rFonts w:ascii="Times New Roman" w:hAnsi="Times New Roman" w:cs="Times New Roman"/>
          <w:sz w:val="20"/>
          <w:szCs w:val="20"/>
        </w:rPr>
        <w:t>- по расходам 2625835,9 тыс.рублей.</w:t>
      </w:r>
    </w:p>
    <w:p w:rsidR="001351CC" w:rsidRPr="001351CC" w:rsidRDefault="001351CC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51CC">
        <w:rPr>
          <w:rFonts w:ascii="Times New Roman" w:hAnsi="Times New Roman" w:cs="Times New Roman"/>
          <w:sz w:val="20"/>
          <w:szCs w:val="20"/>
        </w:rPr>
        <w:t xml:space="preserve">Превышение расходов над доходами (дефицит) бюджета составил 117389,6 тыс. рублей, или 4,6процентов от общего объема доходов бюджета района. </w:t>
      </w:r>
    </w:p>
    <w:p w:rsidR="001351CC" w:rsidRPr="00ED5CBE" w:rsidRDefault="00ED5CBE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0"/>
        </w:rPr>
        <w:t xml:space="preserve">Согласно требованиям пункта 3 статьи 92.1 БК РФ для муниципального образования, в отношении которого осуществляются меры, предусмотренные </w:t>
      </w:r>
      <w:hyperlink r:id="rId7" w:history="1">
        <w:r w:rsidRPr="00ED5CBE">
          <w:rPr>
            <w:rFonts w:ascii="Times New Roman" w:hAnsi="Times New Roman" w:cs="Times New Roman"/>
            <w:sz w:val="20"/>
            <w:szCs w:val="20"/>
          </w:rPr>
          <w:t>пунктом 4 статьи 136</w:t>
        </w:r>
      </w:hyperlink>
      <w:r w:rsidRPr="00ED5CBE">
        <w:rPr>
          <w:rFonts w:ascii="Times New Roman" w:hAnsi="Times New Roman" w:cs="Times New Roman"/>
          <w:sz w:val="20"/>
          <w:szCs w:val="20"/>
        </w:rPr>
        <w:t xml:space="preserve"> БК 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Предельный объем дефицита может превысить установленные ограничения в пределах суммы снижения остатков средств на счетах местного бюджета. Источником внутреннего финансирования дефицита бюджета (117389,6 тыс. рублей) определены изменения остатков средств на счетах по учету средств бюджета,  о</w:t>
      </w:r>
      <w:r w:rsidRPr="00ED5CBE">
        <w:rPr>
          <w:rFonts w:ascii="Times New Roman" w:hAnsi="Times New Roman" w:cs="Times New Roman"/>
          <w:sz w:val="20"/>
          <w:szCs w:val="20"/>
          <w:lang w:eastAsia="ar-SA"/>
        </w:rPr>
        <w:t xml:space="preserve">статок собственных средств на едином счете местного бюджета на 01.01.2023 составлял </w:t>
      </w:r>
      <w:r w:rsidRPr="00ED5CBE">
        <w:rPr>
          <w:rFonts w:ascii="Times New Roman" w:hAnsi="Times New Roman" w:cs="Times New Roman"/>
          <w:sz w:val="20"/>
          <w:szCs w:val="20"/>
        </w:rPr>
        <w:t>118342,49тыс.рублей</w:t>
      </w:r>
      <w:r w:rsidRPr="00ED5CBE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  <w:r w:rsidRPr="00ED5CBE">
        <w:rPr>
          <w:rFonts w:ascii="Times New Roman" w:hAnsi="Times New Roman" w:cs="Times New Roman"/>
          <w:sz w:val="20"/>
          <w:szCs w:val="20"/>
        </w:rPr>
        <w:t>При исполнении бюджета соблюдено требование ст.92.1 БК РФ.</w:t>
      </w:r>
    </w:p>
    <w:p w:rsidR="00ED5CBE" w:rsidRPr="00ED5CBE" w:rsidRDefault="00ED5CBE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0"/>
        </w:rPr>
        <w:t>В соответствии с положениями статьи 217 БК РФ бюджетные назначения, утвержденные Решением Собрания депутатов, были уточнены без изменения в Решение №399 и составили:</w:t>
      </w:r>
    </w:p>
    <w:p w:rsidR="00ED5CBE" w:rsidRPr="00ED5CBE" w:rsidRDefault="00ED5CBE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0"/>
        </w:rPr>
        <w:t>- по доходам 2508446,3 </w:t>
      </w:r>
      <w:r w:rsidRPr="00ED5CBE">
        <w:rPr>
          <w:rFonts w:ascii="Times New Roman" w:hAnsi="Times New Roman" w:cs="Times New Roman"/>
          <w:sz w:val="20"/>
          <w:szCs w:val="20"/>
          <w:lang w:eastAsia="en-US"/>
        </w:rPr>
        <w:t>тыс.рублей,</w:t>
      </w:r>
    </w:p>
    <w:p w:rsidR="001351CC" w:rsidRPr="00ED5CBE" w:rsidRDefault="00ED5CBE" w:rsidP="00ED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0"/>
        </w:rPr>
        <w:t xml:space="preserve">- по расходам </w:t>
      </w:r>
      <w:r w:rsidRPr="00ED5CBE">
        <w:rPr>
          <w:rFonts w:ascii="Times New Roman" w:hAnsi="Times New Roman" w:cs="Times New Roman"/>
          <w:sz w:val="20"/>
          <w:szCs w:val="20"/>
          <w:lang w:eastAsia="en-US"/>
        </w:rPr>
        <w:t>2545651,4тыс.рублей.</w:t>
      </w:r>
    </w:p>
    <w:p w:rsidR="00ED5CBE" w:rsidRPr="00ED5CBE" w:rsidRDefault="00ED5CBE" w:rsidP="00ED5C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0"/>
        </w:rPr>
        <w:t xml:space="preserve">Основные параметры районного бюджета на 2023 год, их исполнение представлены в таблице 1                                                                                                                                                                                                                            Таблица 1 </w:t>
      </w:r>
    </w:p>
    <w:p w:rsidR="00ED5CBE" w:rsidRPr="00ED5CBE" w:rsidRDefault="00ED5CBE" w:rsidP="00ED5C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0"/>
        </w:rPr>
        <w:t xml:space="preserve"> (тыс. 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701"/>
        <w:gridCol w:w="1134"/>
        <w:gridCol w:w="1275"/>
        <w:gridCol w:w="1418"/>
        <w:gridCol w:w="1276"/>
      </w:tblGrid>
      <w:tr w:rsidR="00ED5CBE" w:rsidRPr="00ED5CBE" w:rsidTr="00ED5CBE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Утверждено решением о бюджете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Уточненный план (форма 0503117)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Исполнено (форма 0503117)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 xml:space="preserve">Отклонение исполнения от уточненного плана </w:t>
            </w:r>
          </w:p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гр.5-гр.4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Исполнение </w:t>
            </w:r>
          </w:p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гр.5/гр.4</w:t>
            </w:r>
          </w:p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(в %)</w:t>
            </w:r>
          </w:p>
        </w:tc>
      </w:tr>
      <w:tr w:rsidR="00ED5CBE" w:rsidRPr="00ED5CBE" w:rsidTr="00ED5CBE">
        <w:trPr>
          <w:trHeight w:val="2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в первонач.</w:t>
            </w:r>
          </w:p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 xml:space="preserve">редакции решения от  </w:t>
            </w:r>
            <w:r w:rsidRPr="00ED5CBE">
              <w:rPr>
                <w:rFonts w:ascii="Times New Roman" w:hAnsi="Times New Roman" w:cs="Times New Roman"/>
                <w:b/>
                <w:sz w:val="18"/>
                <w:szCs w:val="20"/>
              </w:rPr>
              <w:t>22 декабря 2022года №399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решение от 22.12.2022 №399 (в редакции </w:t>
            </w:r>
            <w:r w:rsidRPr="00ED5CBE">
              <w:rPr>
                <w:rFonts w:ascii="Times New Roman" w:hAnsi="Times New Roman" w:cs="Times New Roman"/>
                <w:b/>
                <w:sz w:val="20"/>
                <w:szCs w:val="20"/>
              </w:rPr>
              <w:t>от 29.12.2023 №568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5CBE" w:rsidRPr="00ED5CBE" w:rsidTr="00ED5CBE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ED5CBE" w:rsidRPr="00ED5CBE" w:rsidTr="00ED5C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</w:rPr>
              <w:t xml:space="preserve">2261125,9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</w:rPr>
              <w:t>2508446,3 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</w:rPr>
              <w:t xml:space="preserve"> 2508446,3 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2484060,1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-24386,2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ED5CBE" w:rsidRPr="00ED5CBE" w:rsidTr="00ED5CBE">
        <w:trPr>
          <w:trHeight w:val="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расходы </w:t>
            </w:r>
          </w:p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</w:rPr>
              <w:t xml:space="preserve">2261125,9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</w:rPr>
              <w:t>2625835,9 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2545651,4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2505828,5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-39822,9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98,4</w:t>
            </w:r>
          </w:p>
        </w:tc>
      </w:tr>
      <w:tr w:rsidR="00ED5CBE" w:rsidRPr="00ED5CBE" w:rsidTr="00ED5C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Дефицит </w:t>
            </w:r>
          </w:p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(-); 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</w:rPr>
              <w:t>(-)117389,6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(-)37205,1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C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(-)21768,4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ED5CBE" w:rsidRPr="00ED5CBE" w:rsidRDefault="00ED5CBE" w:rsidP="00A13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</w:p>
    <w:p w:rsidR="00ED5CBE" w:rsidRPr="00ED5CBE" w:rsidRDefault="00ED5CBE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  <w:r w:rsidRPr="00ED5CBE">
        <w:rPr>
          <w:rFonts w:ascii="Times New Roman" w:hAnsi="Times New Roman" w:cs="Times New Roman"/>
          <w:sz w:val="20"/>
          <w:szCs w:val="20"/>
        </w:rPr>
        <w:t xml:space="preserve">С учетом внесенных изменений в сводную бюджетную роспись (на 31.12.2023) уточненные бюджетные назначения составили по доходам 2508446,3 тыс.рублей и  по расходам </w:t>
      </w:r>
      <w:r w:rsidRPr="00ED5CBE">
        <w:rPr>
          <w:rFonts w:ascii="Times New Roman" w:hAnsi="Times New Roman" w:cs="Times New Roman"/>
          <w:sz w:val="20"/>
          <w:szCs w:val="20"/>
          <w:lang w:eastAsia="en-US"/>
        </w:rPr>
        <w:t>2545651,4</w:t>
      </w:r>
      <w:r w:rsidRPr="00ED5CBE">
        <w:rPr>
          <w:rFonts w:ascii="Times New Roman" w:hAnsi="Times New Roman" w:cs="Times New Roman"/>
          <w:sz w:val="20"/>
          <w:szCs w:val="20"/>
        </w:rPr>
        <w:t xml:space="preserve">тыс. рублей. </w:t>
      </w:r>
    </w:p>
    <w:p w:rsidR="00ED5CBE" w:rsidRPr="00ED5CBE" w:rsidRDefault="00ED5CBE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0"/>
        </w:rPr>
        <w:t>Лимиты бюджетных обязательств на 31.12.2023 доведены в размере 2541810,1тыс.рублей.</w:t>
      </w:r>
    </w:p>
    <w:p w:rsidR="00ED5CBE" w:rsidRPr="00ED5CBE" w:rsidRDefault="00ED5CBE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0"/>
        </w:rPr>
        <w:t xml:space="preserve">Руководствуясь статьей 217.1 БК РФ, статьей 33 Положения о бюджетном процессе и Порядком составления и ведения кассового плана, утвержденным приказом Финансового управления от 28.12.2011 №104 (с изменениями), в целях прогнозирования поступлений в районный бюджет и перечислений из районного бюджета составлен кассовый план на 2023 год с помесячной детализацией. Кассовый план по расходам на 01.01.2023года и на 31.12.2023года составлен в объеме утвержденных Решением №399 ассигнований 2261125,90 тыс.рублей и 2625835,90 тыс.рублей соответственно. </w:t>
      </w:r>
    </w:p>
    <w:p w:rsidR="00ED5CBE" w:rsidRPr="00ED5CBE" w:rsidRDefault="00ED5CBE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8"/>
        </w:rPr>
      </w:pPr>
      <w:r w:rsidRPr="00ED5CBE">
        <w:rPr>
          <w:rFonts w:ascii="Times New Roman" w:hAnsi="Times New Roman" w:cs="Times New Roman"/>
          <w:sz w:val="20"/>
          <w:szCs w:val="28"/>
        </w:rPr>
        <w:t xml:space="preserve">Согласно Отчету об исполнении бюджета на 01.01.2024 (ф. 0503117) доходы районного бюджета исполнены в сумме </w:t>
      </w:r>
      <w:r w:rsidRPr="00ED5CBE">
        <w:rPr>
          <w:rFonts w:ascii="Times New Roman" w:hAnsi="Times New Roman" w:cs="Times New Roman"/>
          <w:sz w:val="20"/>
          <w:szCs w:val="28"/>
          <w:lang w:eastAsia="en-US"/>
        </w:rPr>
        <w:t>2484060,1</w:t>
      </w:r>
      <w:r w:rsidRPr="00ED5CBE">
        <w:rPr>
          <w:rFonts w:ascii="Times New Roman" w:hAnsi="Times New Roman" w:cs="Times New Roman"/>
          <w:sz w:val="20"/>
          <w:szCs w:val="28"/>
        </w:rPr>
        <w:t xml:space="preserve">тыс.рублей, расходы районного бюджета исполнены в объеме </w:t>
      </w:r>
      <w:r w:rsidRPr="00ED5CBE">
        <w:rPr>
          <w:rFonts w:ascii="Times New Roman" w:hAnsi="Times New Roman" w:cs="Times New Roman"/>
          <w:sz w:val="20"/>
          <w:szCs w:val="28"/>
          <w:lang w:eastAsia="en-US"/>
        </w:rPr>
        <w:t>2505828,5</w:t>
      </w:r>
      <w:r w:rsidRPr="00ED5CBE">
        <w:rPr>
          <w:rFonts w:ascii="Times New Roman" w:hAnsi="Times New Roman" w:cs="Times New Roman"/>
          <w:sz w:val="20"/>
          <w:szCs w:val="28"/>
        </w:rPr>
        <w:t>тыс.рублей. Фактически районный бюджет исполнен с дефицитом</w:t>
      </w:r>
      <w:r w:rsidRPr="00ED5CBE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ED5CBE">
        <w:rPr>
          <w:rFonts w:ascii="Times New Roman" w:hAnsi="Times New Roman" w:cs="Times New Roman"/>
          <w:sz w:val="20"/>
          <w:szCs w:val="28"/>
        </w:rPr>
        <w:t xml:space="preserve">в сумме </w:t>
      </w:r>
      <w:r w:rsidRPr="00ED5CBE">
        <w:rPr>
          <w:rFonts w:ascii="Times New Roman" w:hAnsi="Times New Roman" w:cs="Times New Roman"/>
          <w:sz w:val="20"/>
          <w:szCs w:val="28"/>
          <w:lang w:eastAsia="en-US"/>
        </w:rPr>
        <w:t>21768,4</w:t>
      </w:r>
      <w:r w:rsidRPr="00ED5CBE">
        <w:rPr>
          <w:rFonts w:ascii="Times New Roman" w:hAnsi="Times New Roman" w:cs="Times New Roman"/>
          <w:sz w:val="20"/>
          <w:szCs w:val="28"/>
        </w:rPr>
        <w:t>тыс. рублей (</w:t>
      </w:r>
      <w:r w:rsidRPr="00ED5CBE">
        <w:rPr>
          <w:rFonts w:ascii="Times New Roman" w:hAnsi="Times New Roman" w:cs="Times New Roman"/>
          <w:sz w:val="20"/>
          <w:szCs w:val="28"/>
          <w:lang w:eastAsia="en-US"/>
        </w:rPr>
        <w:t>2484060,1</w:t>
      </w:r>
      <w:r w:rsidRPr="00ED5CBE">
        <w:rPr>
          <w:rFonts w:ascii="Times New Roman" w:hAnsi="Times New Roman" w:cs="Times New Roman"/>
          <w:sz w:val="20"/>
          <w:szCs w:val="28"/>
        </w:rPr>
        <w:t>-</w:t>
      </w:r>
      <w:r w:rsidRPr="00ED5CBE">
        <w:rPr>
          <w:rFonts w:ascii="Times New Roman" w:hAnsi="Times New Roman" w:cs="Times New Roman"/>
          <w:sz w:val="20"/>
          <w:szCs w:val="28"/>
          <w:lang w:eastAsia="en-US"/>
        </w:rPr>
        <w:t>2505828,5</w:t>
      </w:r>
      <w:r w:rsidRPr="00ED5CBE">
        <w:rPr>
          <w:rFonts w:ascii="Times New Roman" w:hAnsi="Times New Roman" w:cs="Times New Roman"/>
          <w:sz w:val="20"/>
          <w:szCs w:val="28"/>
        </w:rPr>
        <w:t xml:space="preserve">). </w:t>
      </w:r>
    </w:p>
    <w:p w:rsidR="00ED5CBE" w:rsidRPr="00ED5CBE" w:rsidRDefault="00ED5CBE" w:rsidP="00ED5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8"/>
        </w:rPr>
      </w:pPr>
      <w:r w:rsidRPr="00ED5CBE">
        <w:rPr>
          <w:rFonts w:ascii="Times New Roman" w:hAnsi="Times New Roman" w:cs="Times New Roman"/>
          <w:sz w:val="20"/>
          <w:szCs w:val="28"/>
        </w:rPr>
        <w:t>На едином счете местного бюджета на 01.01.2024года остаток средств составил 96574,1тыс.рублей,</w:t>
      </w:r>
      <w:r w:rsidRPr="00ED5CBE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ED5CBE">
        <w:rPr>
          <w:rFonts w:ascii="Times New Roman" w:hAnsi="Times New Roman" w:cs="Times New Roman"/>
          <w:sz w:val="20"/>
          <w:szCs w:val="28"/>
        </w:rPr>
        <w:t>из них 2313,2 тыс. рублей –акцизы.</w:t>
      </w:r>
    </w:p>
    <w:p w:rsidR="00ED5CBE" w:rsidRDefault="00007189" w:rsidP="00ED5CBE">
      <w:pPr>
        <w:tabs>
          <w:tab w:val="left" w:pos="720"/>
        </w:tabs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E77BD5">
        <w:rPr>
          <w:rFonts w:ascii="Times New Roman" w:hAnsi="Times New Roman" w:cs="Times New Roman"/>
          <w:b/>
          <w:sz w:val="20"/>
          <w:szCs w:val="20"/>
        </w:rPr>
        <w:t>Доходы бюджета</w:t>
      </w:r>
    </w:p>
    <w:p w:rsidR="00ED5CBE" w:rsidRDefault="00ED5CBE" w:rsidP="00ED5CBE">
      <w:pPr>
        <w:tabs>
          <w:tab w:val="left" w:pos="720"/>
        </w:tabs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8"/>
        </w:rPr>
        <w:t xml:space="preserve">Исполнение бюджетных назначений по доходам бюджета Карталинского муниципального района за 2023год составило </w:t>
      </w:r>
      <w:r w:rsidRPr="00ED5CBE">
        <w:rPr>
          <w:rFonts w:ascii="Times New Roman" w:hAnsi="Times New Roman" w:cs="Times New Roman"/>
          <w:sz w:val="20"/>
          <w:szCs w:val="28"/>
          <w:lang w:eastAsia="en-US"/>
        </w:rPr>
        <w:t>2484060,1</w:t>
      </w:r>
      <w:r w:rsidRPr="00ED5CBE">
        <w:rPr>
          <w:rFonts w:ascii="Times New Roman" w:hAnsi="Times New Roman" w:cs="Times New Roman"/>
          <w:sz w:val="20"/>
          <w:szCs w:val="28"/>
        </w:rPr>
        <w:t>тыс.рублей или  99,0 процентов от утвержденных назначений (2508446,3</w:t>
      </w:r>
      <w:r w:rsidRPr="00ED5CBE">
        <w:rPr>
          <w:rFonts w:ascii="Times New Roman" w:hAnsi="Times New Roman" w:cs="Times New Roman"/>
          <w:sz w:val="12"/>
          <w:szCs w:val="18"/>
        </w:rPr>
        <w:t> </w:t>
      </w:r>
      <w:r w:rsidRPr="00ED5CBE">
        <w:rPr>
          <w:rFonts w:ascii="Times New Roman" w:hAnsi="Times New Roman" w:cs="Times New Roman"/>
          <w:sz w:val="20"/>
          <w:szCs w:val="28"/>
        </w:rPr>
        <w:t xml:space="preserve">тыс.рублей). </w:t>
      </w:r>
    </w:p>
    <w:p w:rsidR="00ED5CBE" w:rsidRPr="00ED5CBE" w:rsidRDefault="00ED5CBE" w:rsidP="00ED5CBE">
      <w:pPr>
        <w:tabs>
          <w:tab w:val="left" w:pos="720"/>
        </w:tabs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8"/>
        </w:rPr>
        <w:t xml:space="preserve">Главные администраторы доходов бюджета Карталинского муниципального района утверждены по распоряжению администрации Карталинского муниципального района от 21.12.2022 № 986-р. </w:t>
      </w:r>
    </w:p>
    <w:p w:rsidR="00ED5CBE" w:rsidRPr="00ED5CBE" w:rsidRDefault="00ED5CBE" w:rsidP="00ED5C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ED5CBE">
        <w:rPr>
          <w:rFonts w:ascii="Times New Roman" w:hAnsi="Times New Roman" w:cs="Times New Roman"/>
          <w:sz w:val="20"/>
          <w:szCs w:val="28"/>
        </w:rPr>
        <w:t>Выполнение плановых показателей доходов бюджета района в 2023году, их структура представлены в таблице 2.</w:t>
      </w:r>
    </w:p>
    <w:p w:rsidR="00ED5CBE" w:rsidRPr="00ED5CBE" w:rsidRDefault="00ED5CBE" w:rsidP="00ED5CBE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5C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Таблица 2 </w:t>
      </w:r>
    </w:p>
    <w:p w:rsidR="00ED5CBE" w:rsidRPr="00ED5CBE" w:rsidRDefault="00ED5CBE" w:rsidP="00ED5C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5CBE">
        <w:rPr>
          <w:rFonts w:ascii="Times New Roman" w:hAnsi="Times New Roman" w:cs="Times New Roman"/>
          <w:sz w:val="16"/>
          <w:szCs w:val="16"/>
        </w:rPr>
        <w:t xml:space="preserve"> (тыс. рублей)</w:t>
      </w:r>
    </w:p>
    <w:tbl>
      <w:tblPr>
        <w:tblW w:w="92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8"/>
        <w:gridCol w:w="1080"/>
        <w:gridCol w:w="1080"/>
        <w:gridCol w:w="1242"/>
        <w:gridCol w:w="1469"/>
      </w:tblGrid>
      <w:tr w:rsidR="00ED5CBE" w:rsidRPr="00ED5CBE" w:rsidTr="00C11887">
        <w:trPr>
          <w:trHeight w:val="58"/>
        </w:trPr>
        <w:tc>
          <w:tcPr>
            <w:tcW w:w="4408" w:type="dxa"/>
            <w:vMerge w:val="restart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назначено</w:t>
            </w: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исполнено</w:t>
            </w:r>
          </w:p>
        </w:tc>
      </w:tr>
      <w:tr w:rsidR="00ED5CBE" w:rsidRPr="00ED5CBE" w:rsidTr="00C11887">
        <w:trPr>
          <w:trHeight w:val="58"/>
        </w:trPr>
        <w:tc>
          <w:tcPr>
            <w:tcW w:w="4408" w:type="dxa"/>
            <w:vMerge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удельный вес в общих доходах (в процентах)</w:t>
            </w:r>
          </w:p>
        </w:tc>
      </w:tr>
      <w:tr w:rsidR="00ED5CBE" w:rsidRPr="00ED5CBE" w:rsidTr="00C11887">
        <w:trPr>
          <w:trHeight w:val="58"/>
        </w:trPr>
        <w:tc>
          <w:tcPr>
            <w:tcW w:w="4408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2508446,3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2484060,1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ED5CBE" w:rsidRPr="00ED5CBE" w:rsidTr="00C11887">
        <w:trPr>
          <w:trHeight w:val="58"/>
        </w:trPr>
        <w:tc>
          <w:tcPr>
            <w:tcW w:w="4408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705749,2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771441,4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109,3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31,0</w:t>
            </w:r>
          </w:p>
        </w:tc>
      </w:tr>
      <w:tr w:rsidR="00ED5CBE" w:rsidRPr="00ED5CBE" w:rsidTr="00C11887">
        <w:trPr>
          <w:trHeight w:val="216"/>
        </w:trPr>
        <w:tc>
          <w:tcPr>
            <w:tcW w:w="4408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080" w:type="dxa"/>
            <w:shd w:val="clear" w:color="auto" w:fill="auto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D5CBE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667324,2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728118,6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ED5CBE" w:rsidRPr="00ED5CBE" w:rsidTr="00C11887">
        <w:trPr>
          <w:trHeight w:val="175"/>
        </w:trPr>
        <w:tc>
          <w:tcPr>
            <w:tcW w:w="4408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080" w:type="dxa"/>
            <w:shd w:val="clear" w:color="auto" w:fill="auto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38425,0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43322,8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112,7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ED5CBE" w:rsidRPr="00ED5CBE" w:rsidTr="00C11887">
        <w:trPr>
          <w:trHeight w:val="60"/>
        </w:trPr>
        <w:tc>
          <w:tcPr>
            <w:tcW w:w="4408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1802697,1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1712618,7*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95,0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69,0</w:t>
            </w:r>
          </w:p>
        </w:tc>
      </w:tr>
    </w:tbl>
    <w:p w:rsidR="00ED5CBE" w:rsidRPr="00ED5CBE" w:rsidRDefault="00ED5CBE" w:rsidP="00ED5C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5CBE">
        <w:rPr>
          <w:rFonts w:ascii="Times New Roman" w:hAnsi="Times New Roman" w:cs="Times New Roman"/>
          <w:sz w:val="16"/>
          <w:szCs w:val="16"/>
        </w:rPr>
        <w:t xml:space="preserve">*с учетом возврата остатков  прошлых лет    </w:t>
      </w:r>
    </w:p>
    <w:p w:rsidR="00650C7D" w:rsidRPr="00ED5CBE" w:rsidRDefault="00650C7D" w:rsidP="00ED5C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C7D" w:rsidRPr="00ED5CBE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CBE">
        <w:rPr>
          <w:rFonts w:ascii="Times New Roman" w:hAnsi="Times New Roman" w:cs="Times New Roman"/>
          <w:sz w:val="20"/>
          <w:szCs w:val="20"/>
        </w:rPr>
        <w:t xml:space="preserve">         Динамика исполнения доходов бюджета за 202</w:t>
      </w:r>
      <w:r w:rsidR="00ED5CBE">
        <w:rPr>
          <w:rFonts w:ascii="Times New Roman" w:hAnsi="Times New Roman" w:cs="Times New Roman"/>
          <w:sz w:val="20"/>
          <w:szCs w:val="20"/>
        </w:rPr>
        <w:t>2</w:t>
      </w:r>
      <w:r w:rsidRPr="00ED5CBE">
        <w:rPr>
          <w:rFonts w:ascii="Times New Roman" w:hAnsi="Times New Roman" w:cs="Times New Roman"/>
          <w:sz w:val="20"/>
          <w:szCs w:val="20"/>
        </w:rPr>
        <w:t>-202</w:t>
      </w:r>
      <w:r w:rsidR="00ED5CBE">
        <w:rPr>
          <w:rFonts w:ascii="Times New Roman" w:hAnsi="Times New Roman" w:cs="Times New Roman"/>
          <w:sz w:val="20"/>
          <w:szCs w:val="20"/>
        </w:rPr>
        <w:t xml:space="preserve">3 </w:t>
      </w:r>
      <w:r w:rsidRPr="00ED5CBE">
        <w:rPr>
          <w:rFonts w:ascii="Times New Roman" w:hAnsi="Times New Roman" w:cs="Times New Roman"/>
          <w:sz w:val="20"/>
          <w:szCs w:val="20"/>
        </w:rPr>
        <w:t>годы приведена в таблице 3.</w:t>
      </w:r>
    </w:p>
    <w:p w:rsidR="00ED5CBE" w:rsidRDefault="00650C7D" w:rsidP="00ED5C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5CB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D5CBE" w:rsidRPr="00ED5CBE">
        <w:rPr>
          <w:rFonts w:ascii="Times New Roman" w:hAnsi="Times New Roman" w:cs="Times New Roman"/>
          <w:sz w:val="16"/>
          <w:szCs w:val="16"/>
        </w:rPr>
        <w:t xml:space="preserve">Таблица 3                                       </w:t>
      </w:r>
    </w:p>
    <w:p w:rsidR="00ED5CBE" w:rsidRPr="00ED5CBE" w:rsidRDefault="00ED5CBE" w:rsidP="00ED5C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5CBE">
        <w:rPr>
          <w:rFonts w:ascii="Times New Roman" w:hAnsi="Times New Roman" w:cs="Times New Roman"/>
          <w:sz w:val="16"/>
          <w:szCs w:val="16"/>
        </w:rPr>
        <w:t xml:space="preserve"> (тыс.рублей)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17"/>
        <w:gridCol w:w="1276"/>
        <w:gridCol w:w="1843"/>
        <w:gridCol w:w="1275"/>
        <w:gridCol w:w="993"/>
      </w:tblGrid>
      <w:tr w:rsidR="00ED5CBE" w:rsidRPr="00ED5CBE" w:rsidTr="00ED5CBE">
        <w:trPr>
          <w:trHeight w:val="561"/>
        </w:trPr>
        <w:tc>
          <w:tcPr>
            <w:tcW w:w="3261" w:type="dxa"/>
            <w:vMerge w:val="restart"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доходной части бюджета</w:t>
            </w:r>
          </w:p>
        </w:tc>
        <w:tc>
          <w:tcPr>
            <w:tcW w:w="1843" w:type="dxa"/>
            <w:vMerge w:val="restart"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 в 2023году к 2022 году</w:t>
            </w:r>
          </w:p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(в процентах)</w:t>
            </w:r>
          </w:p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(гр.3:гр.2)</w:t>
            </w:r>
          </w:p>
        </w:tc>
        <w:tc>
          <w:tcPr>
            <w:tcW w:w="2268" w:type="dxa"/>
            <w:gridSpan w:val="2"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Структура</w:t>
            </w:r>
          </w:p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  (в процентах)</w:t>
            </w:r>
          </w:p>
        </w:tc>
      </w:tr>
      <w:tr w:rsidR="00ED5CBE" w:rsidRPr="00ED5CBE" w:rsidTr="00ED5CBE">
        <w:trPr>
          <w:trHeight w:val="287"/>
        </w:trPr>
        <w:tc>
          <w:tcPr>
            <w:tcW w:w="3261" w:type="dxa"/>
            <w:vMerge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2022год</w:t>
            </w:r>
          </w:p>
        </w:tc>
        <w:tc>
          <w:tcPr>
            <w:tcW w:w="1276" w:type="dxa"/>
            <w:shd w:val="clear" w:color="auto" w:fill="auto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2023год</w:t>
            </w:r>
          </w:p>
        </w:tc>
        <w:tc>
          <w:tcPr>
            <w:tcW w:w="1843" w:type="dxa"/>
            <w:vMerge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2022год</w:t>
            </w:r>
          </w:p>
        </w:tc>
        <w:tc>
          <w:tcPr>
            <w:tcW w:w="993" w:type="dxa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2023год</w:t>
            </w:r>
          </w:p>
        </w:tc>
      </w:tr>
      <w:tr w:rsidR="00ED5CBE" w:rsidRPr="00ED5CBE" w:rsidTr="00ED5CBE">
        <w:trPr>
          <w:trHeight w:val="287"/>
        </w:trPr>
        <w:tc>
          <w:tcPr>
            <w:tcW w:w="3261" w:type="dxa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ED5CBE" w:rsidRPr="00ED5CBE" w:rsidRDefault="00ED5CBE" w:rsidP="00ED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D5CBE" w:rsidRPr="00ED5CBE" w:rsidTr="00ED5CBE">
        <w:trPr>
          <w:trHeight w:val="107"/>
        </w:trPr>
        <w:tc>
          <w:tcPr>
            <w:tcW w:w="3261" w:type="dxa"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2259587,5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2484060,1</w:t>
            </w:r>
          </w:p>
        </w:tc>
        <w:tc>
          <w:tcPr>
            <w:tcW w:w="1843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109,9</w:t>
            </w:r>
          </w:p>
        </w:tc>
        <w:tc>
          <w:tcPr>
            <w:tcW w:w="1275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ED5CBE" w:rsidRPr="00ED5CBE" w:rsidTr="00ED5CBE">
        <w:trPr>
          <w:trHeight w:val="352"/>
        </w:trPr>
        <w:tc>
          <w:tcPr>
            <w:tcW w:w="3261" w:type="dxa"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571232,2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771441,4</w:t>
            </w:r>
          </w:p>
        </w:tc>
        <w:tc>
          <w:tcPr>
            <w:tcW w:w="1843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135,0</w:t>
            </w:r>
          </w:p>
        </w:tc>
        <w:tc>
          <w:tcPr>
            <w:tcW w:w="1275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25,3</w:t>
            </w:r>
          </w:p>
        </w:tc>
        <w:tc>
          <w:tcPr>
            <w:tcW w:w="993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31,0</w:t>
            </w:r>
          </w:p>
        </w:tc>
      </w:tr>
      <w:tr w:rsidR="00ED5CBE" w:rsidRPr="00ED5CBE" w:rsidTr="00ED5CBE">
        <w:trPr>
          <w:trHeight w:val="53"/>
        </w:trPr>
        <w:tc>
          <w:tcPr>
            <w:tcW w:w="3261" w:type="dxa"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525922,4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728118,6</w:t>
            </w:r>
          </w:p>
        </w:tc>
        <w:tc>
          <w:tcPr>
            <w:tcW w:w="1843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1275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993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</w:tr>
      <w:tr w:rsidR="00ED5CBE" w:rsidRPr="00ED5CBE" w:rsidTr="00ED5CBE">
        <w:trPr>
          <w:trHeight w:val="53"/>
        </w:trPr>
        <w:tc>
          <w:tcPr>
            <w:tcW w:w="3261" w:type="dxa"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45309,8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43322,8</w:t>
            </w:r>
          </w:p>
        </w:tc>
        <w:tc>
          <w:tcPr>
            <w:tcW w:w="1843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1275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 xml:space="preserve"> 2,0</w:t>
            </w:r>
          </w:p>
        </w:tc>
        <w:tc>
          <w:tcPr>
            <w:tcW w:w="993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ED5CBE" w:rsidRPr="00ED5CBE" w:rsidTr="00ED5CBE">
        <w:trPr>
          <w:trHeight w:val="53"/>
        </w:trPr>
        <w:tc>
          <w:tcPr>
            <w:tcW w:w="3261" w:type="dxa"/>
          </w:tcPr>
          <w:p w:rsidR="00ED5CBE" w:rsidRPr="00ED5CBE" w:rsidRDefault="00ED5CBE" w:rsidP="00ED5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1688355,3*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1712618,7*</w:t>
            </w:r>
          </w:p>
        </w:tc>
        <w:tc>
          <w:tcPr>
            <w:tcW w:w="1843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101,4</w:t>
            </w:r>
          </w:p>
        </w:tc>
        <w:tc>
          <w:tcPr>
            <w:tcW w:w="1275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74,7</w:t>
            </w:r>
          </w:p>
        </w:tc>
        <w:tc>
          <w:tcPr>
            <w:tcW w:w="993" w:type="dxa"/>
          </w:tcPr>
          <w:p w:rsidR="00ED5CBE" w:rsidRPr="00ED5CBE" w:rsidRDefault="00ED5CBE" w:rsidP="00ED5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C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69,0</w:t>
            </w:r>
          </w:p>
        </w:tc>
      </w:tr>
    </w:tbl>
    <w:p w:rsidR="00ED5CBE" w:rsidRPr="00ED5CBE" w:rsidRDefault="00ED5CBE" w:rsidP="00ED5C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5CBE">
        <w:rPr>
          <w:rFonts w:ascii="Times New Roman" w:hAnsi="Times New Roman" w:cs="Times New Roman"/>
          <w:sz w:val="16"/>
          <w:szCs w:val="16"/>
        </w:rPr>
        <w:t xml:space="preserve">*с учетом возврата остатков  прошлых лет   </w:t>
      </w:r>
    </w:p>
    <w:p w:rsidR="00C31188" w:rsidRPr="00C31188" w:rsidRDefault="00C31188" w:rsidP="00C31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31188">
        <w:rPr>
          <w:rFonts w:ascii="Times New Roman" w:hAnsi="Times New Roman" w:cs="Times New Roman"/>
          <w:sz w:val="20"/>
          <w:szCs w:val="20"/>
        </w:rPr>
        <w:t>По сравнению с предшествующим годом в 2023году в целом наблюдается увеличение доходной части бюджета района на 9,9процента (на 224472,6тыс.рублей), в том числе за счет:</w:t>
      </w:r>
    </w:p>
    <w:p w:rsidR="00C31188" w:rsidRPr="00C31188" w:rsidRDefault="00C31188" w:rsidP="00C31188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31188">
        <w:rPr>
          <w:rFonts w:ascii="Times New Roman" w:hAnsi="Times New Roman" w:cs="Times New Roman"/>
          <w:sz w:val="20"/>
          <w:szCs w:val="20"/>
        </w:rPr>
        <w:t>- налоговых и неналоговых поступлений на 35,0процентов (на 200209,2тыс.рублей);</w:t>
      </w:r>
    </w:p>
    <w:p w:rsidR="00C31188" w:rsidRPr="00C31188" w:rsidRDefault="00C31188" w:rsidP="00C31188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31188">
        <w:rPr>
          <w:rFonts w:ascii="Times New Roman" w:hAnsi="Times New Roman" w:cs="Times New Roman"/>
          <w:sz w:val="20"/>
          <w:szCs w:val="20"/>
        </w:rPr>
        <w:t xml:space="preserve">- безвозмездных поступлений на 1,4 процентов (на 24263,4 тыс.рублей). </w:t>
      </w:r>
    </w:p>
    <w:p w:rsidR="00C31188" w:rsidRPr="00C31188" w:rsidRDefault="00C31188" w:rsidP="00C31188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31188">
        <w:rPr>
          <w:rFonts w:ascii="Times New Roman" w:hAnsi="Times New Roman" w:cs="Times New Roman"/>
          <w:sz w:val="20"/>
          <w:szCs w:val="20"/>
        </w:rPr>
        <w:t>Доля налоговых и неналоговых доходов в общей сумме доходов составила 31,0процент с ростом к предыдущему году в размере 5,7процентов (в 2022году-25,3процентов).</w:t>
      </w:r>
    </w:p>
    <w:p w:rsidR="00C31188" w:rsidRPr="00C31188" w:rsidRDefault="00C31188" w:rsidP="00C31188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31188">
        <w:rPr>
          <w:rFonts w:ascii="Times New Roman" w:hAnsi="Times New Roman" w:cs="Times New Roman"/>
          <w:sz w:val="20"/>
          <w:szCs w:val="20"/>
        </w:rPr>
        <w:t>Соответственно объем безвозмездных поступлений в общей сумме доходов составил 69,0процентов со снижением на 5,7процентов к уровню 2022года (74,7%).</w:t>
      </w:r>
    </w:p>
    <w:p w:rsidR="008B4901" w:rsidRPr="00E77BD5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77BD5">
        <w:rPr>
          <w:rFonts w:ascii="Times New Roman" w:hAnsi="Times New Roman" w:cs="Times New Roman"/>
          <w:b/>
          <w:i/>
          <w:sz w:val="20"/>
          <w:szCs w:val="20"/>
        </w:rPr>
        <w:t xml:space="preserve">Налоговые доходы </w:t>
      </w:r>
    </w:p>
    <w:p w:rsidR="00C31188" w:rsidRPr="00C31188" w:rsidRDefault="00C31188" w:rsidP="00C31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31188">
        <w:rPr>
          <w:rFonts w:ascii="Times New Roman" w:hAnsi="Times New Roman" w:cs="Times New Roman"/>
          <w:sz w:val="20"/>
          <w:szCs w:val="20"/>
        </w:rPr>
        <w:t>Поступление налоговых доходов в 2023году составило 728118,6тыс.рублей или 109,1процентов от плановых показателей (</w:t>
      </w:r>
      <w:r w:rsidRPr="00C31188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667324,2</w:t>
      </w:r>
      <w:r w:rsidRPr="00C31188">
        <w:rPr>
          <w:rFonts w:ascii="Times New Roman" w:hAnsi="Times New Roman" w:cs="Times New Roman"/>
          <w:sz w:val="20"/>
          <w:szCs w:val="20"/>
        </w:rPr>
        <w:t xml:space="preserve">тыс.рублей). </w:t>
      </w:r>
    </w:p>
    <w:p w:rsidR="00C31188" w:rsidRPr="00C31188" w:rsidRDefault="00C31188" w:rsidP="00C31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31188">
        <w:rPr>
          <w:rFonts w:ascii="Times New Roman" w:hAnsi="Times New Roman" w:cs="Times New Roman"/>
          <w:sz w:val="20"/>
          <w:szCs w:val="20"/>
        </w:rPr>
        <w:t>Исполнение налоговых доходов районного бюджета за 2023год представлено в таблице 4.</w:t>
      </w:r>
    </w:p>
    <w:p w:rsidR="00C31188" w:rsidRPr="00C31188" w:rsidRDefault="00C31188" w:rsidP="00C311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311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Таблица 4</w:t>
      </w:r>
    </w:p>
    <w:p w:rsidR="00C31188" w:rsidRPr="00C31188" w:rsidRDefault="00C31188" w:rsidP="00C311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31188">
        <w:rPr>
          <w:rFonts w:ascii="Times New Roman" w:hAnsi="Times New Roman" w:cs="Times New Roman"/>
          <w:sz w:val="16"/>
          <w:szCs w:val="16"/>
        </w:rPr>
        <w:t xml:space="preserve">(тыс.рублей)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134"/>
        <w:gridCol w:w="1134"/>
        <w:gridCol w:w="1134"/>
        <w:gridCol w:w="1276"/>
        <w:gridCol w:w="1134"/>
      </w:tblGrid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Наименование</w:t>
            </w:r>
          </w:p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показателя 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назначено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исполнено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Процент</w:t>
            </w:r>
          </w:p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исполнения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Отклонение</w:t>
            </w:r>
          </w:p>
          <w:p w:rsidR="00C31188" w:rsidRPr="00C31188" w:rsidRDefault="00C31188" w:rsidP="00C31188">
            <w:pPr>
              <w:spacing w:after="0" w:line="240" w:lineRule="auto"/>
              <w:ind w:right="-12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(+,-)</w:t>
            </w:r>
          </w:p>
        </w:tc>
        <w:tc>
          <w:tcPr>
            <w:tcW w:w="1276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Доля исполнения в налоговых доходах в %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Доля исполнения в общих доходах в %</w:t>
            </w:r>
          </w:p>
        </w:tc>
      </w:tr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276" w:type="dxa"/>
          </w:tcPr>
          <w:p w:rsidR="00C31188" w:rsidRPr="00C31188" w:rsidRDefault="00C31188" w:rsidP="00C311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7</w:t>
            </w:r>
          </w:p>
        </w:tc>
      </w:tr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555261,5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606833,0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51571,5</w:t>
            </w:r>
          </w:p>
        </w:tc>
        <w:tc>
          <w:tcPr>
            <w:tcW w:w="1276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23910,8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25292,5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1381,7</w:t>
            </w:r>
          </w:p>
        </w:tc>
        <w:tc>
          <w:tcPr>
            <w:tcW w:w="1276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42100,0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43456,4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1356,4</w:t>
            </w:r>
          </w:p>
        </w:tc>
        <w:tc>
          <w:tcPr>
            <w:tcW w:w="1276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-135,1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-135,1</w:t>
            </w:r>
          </w:p>
        </w:tc>
        <w:tc>
          <w:tcPr>
            <w:tcW w:w="1276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2560,0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689,4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-1870,6</w:t>
            </w:r>
          </w:p>
        </w:tc>
        <w:tc>
          <w:tcPr>
            <w:tcW w:w="1276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37409,2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45766,2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8357,0</w:t>
            </w:r>
          </w:p>
        </w:tc>
        <w:tc>
          <w:tcPr>
            <w:tcW w:w="1276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6082,7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6218,6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1276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Прочие налоги и сборы  (по отмененным налогам и сборам)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-2,4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-2,4</w:t>
            </w:r>
          </w:p>
        </w:tc>
        <w:tc>
          <w:tcPr>
            <w:tcW w:w="1276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1188" w:rsidRPr="00C31188" w:rsidTr="00C31188">
        <w:tc>
          <w:tcPr>
            <w:tcW w:w="3227" w:type="dxa"/>
          </w:tcPr>
          <w:p w:rsidR="00C31188" w:rsidRPr="00C31188" w:rsidRDefault="00C31188" w:rsidP="00C31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b/>
                <w:sz w:val="16"/>
                <w:szCs w:val="16"/>
              </w:rPr>
              <w:t>Итого налоговых доходов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667324,2</w:t>
            </w:r>
          </w:p>
        </w:tc>
        <w:tc>
          <w:tcPr>
            <w:tcW w:w="1134" w:type="dxa"/>
            <w:vAlign w:val="center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188">
              <w:rPr>
                <w:rFonts w:ascii="Times New Roman" w:hAnsi="Times New Roman" w:cs="Times New Roman"/>
                <w:b/>
                <w:sz w:val="16"/>
                <w:szCs w:val="16"/>
              </w:rPr>
              <w:t>728118,6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109,1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60794,4</w:t>
            </w:r>
          </w:p>
        </w:tc>
        <w:tc>
          <w:tcPr>
            <w:tcW w:w="1276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  <w:tc>
          <w:tcPr>
            <w:tcW w:w="1134" w:type="dxa"/>
          </w:tcPr>
          <w:p w:rsidR="00C31188" w:rsidRPr="00C31188" w:rsidRDefault="00C31188" w:rsidP="00C3118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3118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29,3</w:t>
            </w:r>
          </w:p>
        </w:tc>
      </w:tr>
    </w:tbl>
    <w:p w:rsidR="00650C7D" w:rsidRPr="00C31188" w:rsidRDefault="00650C7D" w:rsidP="00C31188">
      <w:pPr>
        <w:pStyle w:val="af1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C31188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 xml:space="preserve">         </w:t>
      </w:r>
    </w:p>
    <w:p w:rsidR="00C11887" w:rsidRPr="00C11887" w:rsidRDefault="00C11887" w:rsidP="00C11887">
      <w:pPr>
        <w:pStyle w:val="af1"/>
        <w:ind w:firstLine="426"/>
        <w:jc w:val="both"/>
        <w:rPr>
          <w:rFonts w:ascii="Times New Roman" w:hAnsi="Times New Roman"/>
          <w:sz w:val="20"/>
          <w:szCs w:val="20"/>
        </w:rPr>
      </w:pPr>
      <w:r w:rsidRPr="00C1188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Плановые показатели исполнены от  102,2процентов по поступлению государственной пошлины до 122,3процентов</w:t>
      </w:r>
      <w:r w:rsidRPr="00C11887">
        <w:rPr>
          <w:rFonts w:ascii="Times New Roman" w:hAnsi="Times New Roman"/>
          <w:sz w:val="20"/>
          <w:szCs w:val="20"/>
        </w:rPr>
        <w:t xml:space="preserve"> по налогу на добычу полезных ископаемых.</w:t>
      </w:r>
      <w:r w:rsidRPr="00C1188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 Исполнение по </w:t>
      </w:r>
      <w:r w:rsidRPr="00C11887">
        <w:rPr>
          <w:rFonts w:ascii="Times New Roman" w:hAnsi="Times New Roman"/>
          <w:sz w:val="20"/>
          <w:szCs w:val="20"/>
        </w:rPr>
        <w:t>налогу, взимаемому в связи с применением патентной системы налогообложения</w:t>
      </w:r>
      <w:r w:rsidRPr="00C1188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 составило 26,9процентов. Основной объем налоговых доходов бюджета  сформирован за счет НДФЛ в сумме </w:t>
      </w:r>
      <w:r w:rsidRPr="00C11887">
        <w:rPr>
          <w:rFonts w:ascii="Times New Roman" w:hAnsi="Times New Roman"/>
          <w:sz w:val="20"/>
          <w:szCs w:val="20"/>
        </w:rPr>
        <w:t>606833,0</w:t>
      </w:r>
      <w:r w:rsidRPr="00C1188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тыс. рублей, исполнение составило 109,3 процентов от утвержденных бюджетных назначений. Доля исполнения НДФЛ в налоговых доходах</w:t>
      </w:r>
      <w:r w:rsidRPr="00C11887">
        <w:rPr>
          <w:rFonts w:ascii="Times New Roman" w:hAnsi="Times New Roman"/>
          <w:sz w:val="20"/>
          <w:szCs w:val="20"/>
        </w:rPr>
        <w:t xml:space="preserve"> составила 83,3процента. Удельный вес других поступлений не значителен.</w:t>
      </w:r>
    </w:p>
    <w:p w:rsidR="00650C7D" w:rsidRDefault="00C11887" w:rsidP="00C11887">
      <w:pPr>
        <w:pStyle w:val="af1"/>
        <w:ind w:firstLine="426"/>
        <w:jc w:val="both"/>
        <w:rPr>
          <w:rFonts w:ascii="Times New Roman" w:hAnsi="Times New Roman"/>
          <w:sz w:val="20"/>
          <w:szCs w:val="20"/>
        </w:rPr>
      </w:pPr>
      <w:r w:rsidRPr="00C11887">
        <w:rPr>
          <w:rFonts w:ascii="Times New Roman" w:hAnsi="Times New Roman"/>
          <w:sz w:val="20"/>
          <w:szCs w:val="20"/>
        </w:rPr>
        <w:t>Сведения об исполнении бюджетных назначений по поступлению налоговых доходов в бюджет района в 2022-2023годах  представлены в таблице 5.</w:t>
      </w:r>
    </w:p>
    <w:p w:rsidR="00C11887" w:rsidRPr="00C11887" w:rsidRDefault="00C11887" w:rsidP="00C11887">
      <w:pPr>
        <w:spacing w:after="0" w:line="240" w:lineRule="auto"/>
        <w:ind w:left="-426" w:right="-144" w:firstLine="426"/>
        <w:jc w:val="right"/>
        <w:rPr>
          <w:rFonts w:ascii="Times New Roman" w:hAnsi="Times New Roman" w:cs="Times New Roman"/>
          <w:sz w:val="16"/>
          <w:szCs w:val="16"/>
        </w:rPr>
      </w:pPr>
      <w:r w:rsidRPr="00C11887">
        <w:rPr>
          <w:rFonts w:ascii="Times New Roman" w:hAnsi="Times New Roman" w:cs="Times New Roman"/>
          <w:sz w:val="16"/>
          <w:szCs w:val="16"/>
        </w:rPr>
        <w:t>Таблица 5</w:t>
      </w:r>
    </w:p>
    <w:p w:rsidR="00C11887" w:rsidRPr="00C11887" w:rsidRDefault="00C11887" w:rsidP="00C11887">
      <w:pPr>
        <w:spacing w:after="0" w:line="240" w:lineRule="auto"/>
        <w:ind w:right="-144"/>
        <w:jc w:val="right"/>
        <w:rPr>
          <w:rFonts w:ascii="Times New Roman" w:hAnsi="Times New Roman" w:cs="Times New Roman"/>
          <w:sz w:val="16"/>
          <w:szCs w:val="16"/>
        </w:rPr>
      </w:pPr>
      <w:r w:rsidRPr="00C11887">
        <w:rPr>
          <w:rFonts w:ascii="Times New Roman" w:hAnsi="Times New Roman" w:cs="Times New Roman"/>
          <w:sz w:val="16"/>
          <w:szCs w:val="16"/>
        </w:rPr>
        <w:t xml:space="preserve">    (тыс. рублей)</w:t>
      </w: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0"/>
        <w:gridCol w:w="1358"/>
        <w:gridCol w:w="1362"/>
        <w:gridCol w:w="1578"/>
        <w:gridCol w:w="1522"/>
      </w:tblGrid>
      <w:tr w:rsidR="00C11887" w:rsidRPr="00C11887" w:rsidTr="00C11887">
        <w:tc>
          <w:tcPr>
            <w:tcW w:w="227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45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</w:tr>
      <w:tr w:rsidR="00C11887" w:rsidRPr="00C11887" w:rsidTr="00C11887">
        <w:trPr>
          <w:trHeight w:val="585"/>
        </w:trPr>
        <w:tc>
          <w:tcPr>
            <w:tcW w:w="227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639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740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Сумма (+,-)</w:t>
            </w:r>
          </w:p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(гр.3-гр.2)</w:t>
            </w:r>
          </w:p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(гр.4:гр.2)</w:t>
            </w:r>
          </w:p>
        </w:tc>
      </w:tr>
      <w:tr w:rsidR="00C11887" w:rsidRPr="00C11887" w:rsidTr="00C11887">
        <w:trPr>
          <w:trHeight w:val="255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E0E0E0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right w:val="double" w:sz="4" w:space="0" w:color="auto"/>
            </w:tcBorders>
            <w:shd w:val="clear" w:color="auto" w:fill="E0E0E0"/>
          </w:tcPr>
          <w:p w:rsidR="00C11887" w:rsidRPr="00C11887" w:rsidRDefault="00C11887" w:rsidP="00C1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1887" w:rsidRPr="00C11887" w:rsidTr="00C11887">
        <w:trPr>
          <w:trHeight w:val="53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887" w:rsidRPr="00C11887" w:rsidRDefault="00C11887" w:rsidP="00C1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426798,2</w:t>
            </w:r>
          </w:p>
        </w:tc>
        <w:tc>
          <w:tcPr>
            <w:tcW w:w="6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606833,0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180034,8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</w:tr>
      <w:tr w:rsidR="00C11887" w:rsidRPr="00C11887" w:rsidTr="00C11887">
        <w:trPr>
          <w:trHeight w:val="232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887" w:rsidRPr="00C11887" w:rsidRDefault="00C11887" w:rsidP="00C1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22344,3</w:t>
            </w:r>
          </w:p>
        </w:tc>
        <w:tc>
          <w:tcPr>
            <w:tcW w:w="6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25292,5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2948,2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C11887" w:rsidRPr="00C11887" w:rsidTr="00C11887">
        <w:trPr>
          <w:trHeight w:val="232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887" w:rsidRPr="00C11887" w:rsidRDefault="00C11887" w:rsidP="00C1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36948,3</w:t>
            </w:r>
          </w:p>
        </w:tc>
        <w:tc>
          <w:tcPr>
            <w:tcW w:w="6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43456,4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6508,1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</w:tr>
      <w:tr w:rsidR="00C11887" w:rsidRPr="00C11887" w:rsidTr="00C11887">
        <w:trPr>
          <w:trHeight w:val="412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887" w:rsidRPr="00C11887" w:rsidRDefault="00C11887" w:rsidP="00C1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313,6</w:t>
            </w:r>
          </w:p>
        </w:tc>
        <w:tc>
          <w:tcPr>
            <w:tcW w:w="6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-135,1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-448,7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1887" w:rsidRPr="00C11887" w:rsidTr="00C11887">
        <w:trPr>
          <w:trHeight w:val="418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887" w:rsidRPr="00C11887" w:rsidRDefault="00C11887" w:rsidP="00C1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3104,6</w:t>
            </w:r>
          </w:p>
        </w:tc>
        <w:tc>
          <w:tcPr>
            <w:tcW w:w="6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689,4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-2415,2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-77,8</w:t>
            </w:r>
          </w:p>
        </w:tc>
      </w:tr>
      <w:tr w:rsidR="00C11887" w:rsidRPr="00C11887" w:rsidTr="00C11887">
        <w:trPr>
          <w:trHeight w:val="91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887" w:rsidRPr="00C11887" w:rsidRDefault="00C11887" w:rsidP="00C1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29520,2</w:t>
            </w:r>
          </w:p>
        </w:tc>
        <w:tc>
          <w:tcPr>
            <w:tcW w:w="6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45766,2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16246,0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C11887" w:rsidRPr="00C11887" w:rsidTr="00C11887">
        <w:trPr>
          <w:trHeight w:val="53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887" w:rsidRPr="00C11887" w:rsidRDefault="00C11887" w:rsidP="00C1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6893,1</w:t>
            </w:r>
          </w:p>
        </w:tc>
        <w:tc>
          <w:tcPr>
            <w:tcW w:w="6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6218,6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-674,5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-9,8</w:t>
            </w:r>
          </w:p>
        </w:tc>
      </w:tr>
      <w:tr w:rsidR="00C11887" w:rsidRPr="00C11887" w:rsidTr="00C11887">
        <w:trPr>
          <w:trHeight w:val="267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887" w:rsidRPr="00C11887" w:rsidRDefault="00C11887" w:rsidP="00C1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-2,4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-2,5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1887" w:rsidRPr="00C11887" w:rsidTr="00C11887">
        <w:trPr>
          <w:trHeight w:val="53"/>
        </w:trPr>
        <w:tc>
          <w:tcPr>
            <w:tcW w:w="227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1887" w:rsidRPr="00C11887" w:rsidRDefault="00C11887" w:rsidP="00C11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887">
              <w:rPr>
                <w:rFonts w:ascii="Times New Roman" w:hAnsi="Times New Roman" w:cs="Times New Roman"/>
                <w:b/>
                <w:sz w:val="16"/>
                <w:szCs w:val="16"/>
              </w:rPr>
              <w:t>Итого налоговых доходов</w:t>
            </w:r>
          </w:p>
        </w:tc>
        <w:tc>
          <w:tcPr>
            <w:tcW w:w="63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11887">
              <w:rPr>
                <w:rFonts w:ascii="Times New Roman" w:hAnsi="Times New Roman" w:cs="Times New Roman"/>
                <w:b/>
                <w:sz w:val="16"/>
                <w:szCs w:val="16"/>
              </w:rPr>
              <w:t>525922,4</w:t>
            </w:r>
          </w:p>
        </w:tc>
        <w:tc>
          <w:tcPr>
            <w:tcW w:w="6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11887">
              <w:rPr>
                <w:rFonts w:ascii="Times New Roman" w:hAnsi="Times New Roman" w:cs="Times New Roman"/>
                <w:b/>
                <w:sz w:val="16"/>
                <w:szCs w:val="16"/>
              </w:rPr>
              <w:t>728118,6</w:t>
            </w:r>
          </w:p>
        </w:tc>
        <w:tc>
          <w:tcPr>
            <w:tcW w:w="740" w:type="pct"/>
            <w:tcBorders>
              <w:bottom w:val="double" w:sz="4" w:space="0" w:color="auto"/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11887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202196,2</w:t>
            </w:r>
          </w:p>
        </w:tc>
        <w:tc>
          <w:tcPr>
            <w:tcW w:w="714" w:type="pct"/>
            <w:tcBorders>
              <w:bottom w:val="double" w:sz="4" w:space="0" w:color="auto"/>
              <w:right w:val="double" w:sz="4" w:space="0" w:color="auto"/>
            </w:tcBorders>
          </w:tcPr>
          <w:p w:rsidR="00C11887" w:rsidRPr="00C11887" w:rsidRDefault="00C11887" w:rsidP="00C1188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11887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38,4</w:t>
            </w:r>
          </w:p>
        </w:tc>
      </w:tr>
    </w:tbl>
    <w:p w:rsidR="00C11887" w:rsidRDefault="00C11887" w:rsidP="00C11887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C1188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 2023году поступил</w:t>
      </w:r>
      <w:r w:rsidRPr="00C118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1887">
        <w:rPr>
          <w:rFonts w:ascii="Times New Roman" w:hAnsi="Times New Roman" w:cs="Times New Roman"/>
          <w:sz w:val="20"/>
          <w:szCs w:val="20"/>
        </w:rPr>
        <w:t>НДФЛ</w:t>
      </w:r>
      <w:r w:rsidRPr="00C1188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на </w:t>
      </w:r>
      <w:r w:rsidRPr="00C11887">
        <w:rPr>
          <w:rFonts w:ascii="Times New Roman" w:hAnsi="Times New Roman" w:cs="Times New Roman"/>
          <w:sz w:val="20"/>
          <w:szCs w:val="20"/>
        </w:rPr>
        <w:t>180034,8</w:t>
      </w:r>
      <w:r w:rsidRPr="00C1188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тыс.рублей  или на 42,2 процента больше по сравнению с аналогичным периодом прошлого года (в 2022году-</w:t>
      </w:r>
      <w:r w:rsidRPr="00C11887">
        <w:rPr>
          <w:rFonts w:ascii="Times New Roman" w:hAnsi="Times New Roman" w:cs="Times New Roman"/>
          <w:sz w:val="20"/>
          <w:szCs w:val="20"/>
        </w:rPr>
        <w:t>426798,2</w:t>
      </w:r>
      <w:r w:rsidRPr="00C1188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тыс.рублей), что </w:t>
      </w:r>
      <w:r w:rsidRPr="00C11887">
        <w:rPr>
          <w:rFonts w:ascii="Times New Roman" w:hAnsi="Times New Roman" w:cs="Times New Roman"/>
          <w:color w:val="000000"/>
          <w:sz w:val="20"/>
          <w:szCs w:val="20"/>
        </w:rPr>
        <w:t>объясняется ростом налоговой базы и увеличением дополнительного норматива на 8,9 процентов, который составил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1887">
        <w:rPr>
          <w:rFonts w:ascii="Times New Roman" w:hAnsi="Times New Roman" w:cs="Times New Roman"/>
          <w:sz w:val="20"/>
          <w:szCs w:val="20"/>
        </w:rPr>
        <w:t>в 2023году 67,3</w:t>
      </w:r>
      <w:r w:rsidRPr="00C1188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процента</w:t>
      </w:r>
      <w:r w:rsidRPr="00C11887">
        <w:rPr>
          <w:rFonts w:ascii="Times New Roman" w:hAnsi="Times New Roman" w:cs="Times New Roman"/>
          <w:sz w:val="20"/>
          <w:szCs w:val="20"/>
        </w:rPr>
        <w:t xml:space="preserve"> (в 2022году – 58,4</w:t>
      </w:r>
      <w:r w:rsidRPr="00C1188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процента</w:t>
      </w:r>
      <w:r w:rsidRPr="00C11887">
        <w:rPr>
          <w:rFonts w:ascii="Times New Roman" w:hAnsi="Times New Roman" w:cs="Times New Roman"/>
          <w:sz w:val="20"/>
          <w:szCs w:val="20"/>
        </w:rPr>
        <w:t>).</w:t>
      </w:r>
    </w:p>
    <w:p w:rsidR="00C11887" w:rsidRPr="00C11887" w:rsidRDefault="00C11887" w:rsidP="00C11887">
      <w:pPr>
        <w:pStyle w:val="a7"/>
        <w:suppressLineNumbers/>
        <w:tabs>
          <w:tab w:val="left" w:pos="1095"/>
        </w:tabs>
        <w:spacing w:before="0" w:beforeAutospacing="0" w:after="0" w:afterAutospacing="0"/>
        <w:ind w:firstLine="426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C11887">
        <w:rPr>
          <w:rFonts w:eastAsia="SimSun"/>
          <w:i/>
          <w:kern w:val="1"/>
          <w:sz w:val="20"/>
          <w:szCs w:val="20"/>
          <w:lang w:eastAsia="hi-IN" w:bidi="hi-IN"/>
        </w:rPr>
        <w:t>В сравнении с 2022годом наблюдается рост поступлений:</w:t>
      </w:r>
      <w:r w:rsidRPr="00C11887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</w:p>
    <w:p w:rsidR="00C11887" w:rsidRPr="00C11887" w:rsidRDefault="00C11887" w:rsidP="00C11887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1188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- акцизов по подакцизным товарам (продукции), производимым на территории Российской Федерации </w:t>
      </w:r>
      <w:r w:rsidRPr="00C11887">
        <w:rPr>
          <w:rFonts w:ascii="Times New Roman" w:hAnsi="Times New Roman" w:cs="Times New Roman"/>
          <w:sz w:val="20"/>
          <w:szCs w:val="20"/>
        </w:rPr>
        <w:t>на 13,2</w:t>
      </w:r>
      <w:r w:rsidRPr="00C1188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процентов (на </w:t>
      </w:r>
      <w:r w:rsidRPr="00C11887">
        <w:rPr>
          <w:rFonts w:ascii="Times New Roman" w:hAnsi="Times New Roman" w:cs="Times New Roman"/>
          <w:sz w:val="20"/>
          <w:szCs w:val="20"/>
        </w:rPr>
        <w:t xml:space="preserve">2948,2тыс.рублей), что связано с </w:t>
      </w:r>
      <w:r w:rsidRPr="00C11887">
        <w:rPr>
          <w:rFonts w:ascii="Times New Roman" w:hAnsi="Times New Roman" w:cs="Times New Roman"/>
          <w:iCs/>
          <w:sz w:val="20"/>
          <w:szCs w:val="20"/>
        </w:rPr>
        <w:t>увеличением норматива зачисления акцизов в местный бюджет</w:t>
      </w:r>
      <w:r w:rsidRPr="00C1188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11887" w:rsidRPr="00C11887" w:rsidRDefault="00C11887" w:rsidP="00C11887">
      <w:pPr>
        <w:pStyle w:val="a7"/>
        <w:suppressLineNumbers/>
        <w:tabs>
          <w:tab w:val="left" w:pos="1095"/>
        </w:tabs>
        <w:spacing w:before="0" w:beforeAutospacing="0" w:after="0" w:afterAutospacing="0"/>
        <w:ind w:firstLine="426"/>
        <w:jc w:val="both"/>
        <w:rPr>
          <w:color w:val="000000"/>
          <w:sz w:val="20"/>
          <w:szCs w:val="20"/>
          <w:shd w:val="clear" w:color="auto" w:fill="FFFFFF"/>
        </w:rPr>
      </w:pPr>
      <w:r w:rsidRPr="00C11887">
        <w:rPr>
          <w:rFonts w:eastAsia="SimSun"/>
          <w:kern w:val="1"/>
          <w:sz w:val="20"/>
          <w:szCs w:val="20"/>
          <w:lang w:eastAsia="hi-IN" w:bidi="hi-IN"/>
        </w:rPr>
        <w:t xml:space="preserve">-налога, взимаемого в связи с применением упрощенной системы налогообложения на 17,6процентов (на </w:t>
      </w:r>
      <w:r w:rsidRPr="00C11887">
        <w:rPr>
          <w:sz w:val="20"/>
          <w:szCs w:val="20"/>
        </w:rPr>
        <w:t>6508,1тыс.рублей) за счет увеличения налоговой базы;</w:t>
      </w: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8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-налога</w:t>
      </w:r>
      <w:r w:rsidRPr="00C11887">
        <w:rPr>
          <w:rFonts w:ascii="Times New Roman" w:hAnsi="Times New Roman" w:cs="Times New Roman"/>
          <w:sz w:val="20"/>
          <w:szCs w:val="20"/>
        </w:rPr>
        <w:t xml:space="preserve"> на добычу полезных ископаемых на 55,0процентов  (на 16246,0тыс.рублей) в связи с уплатой налога по контрольным налоговым проверкам по ООО «Горнодобывающая Компания «Мраморэкс», ООО «</w:t>
      </w:r>
      <w:r w:rsidRPr="00C118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Строительный камень».</w:t>
      </w:r>
      <w:r w:rsidRPr="00C1188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11887" w:rsidRPr="00C11887" w:rsidRDefault="00C11887" w:rsidP="00C11887">
      <w:pPr>
        <w:pStyle w:val="22"/>
        <w:ind w:right="-49" w:firstLine="426"/>
        <w:jc w:val="both"/>
        <w:rPr>
          <w:i/>
          <w:color w:val="000000"/>
          <w:sz w:val="20"/>
          <w:shd w:val="clear" w:color="auto" w:fill="FFFFFF"/>
        </w:rPr>
      </w:pPr>
      <w:r w:rsidRPr="00C11887">
        <w:rPr>
          <w:i/>
          <w:color w:val="000000"/>
          <w:sz w:val="20"/>
          <w:shd w:val="clear" w:color="auto" w:fill="FFFFFF"/>
        </w:rPr>
        <w:t>В сравнении с 2022годом сократились поступления:</w:t>
      </w: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1887">
        <w:rPr>
          <w:rFonts w:ascii="Times New Roman" w:hAnsi="Times New Roman" w:cs="Times New Roman"/>
          <w:sz w:val="20"/>
          <w:szCs w:val="20"/>
        </w:rPr>
        <w:t xml:space="preserve">- налога, взимаемого в связи с применением патентной системы налогообложения на 77,8процентов (на 2415,2тыс.рублей) </w:t>
      </w:r>
      <w:r w:rsidRPr="00C118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связи с формированием сальдо по единому налоговому счету при наличии переплаты на 01.01.2023 года произведено списание денежных средств, а также отсутствие платежей по сроку уплаты 31.12.2023 (перенос срока на 09.01.2024).</w:t>
      </w: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11887">
        <w:rPr>
          <w:rFonts w:ascii="Times New Roman" w:hAnsi="Times New Roman" w:cs="Times New Roman"/>
          <w:sz w:val="20"/>
          <w:szCs w:val="20"/>
        </w:rPr>
        <w:t>-</w:t>
      </w:r>
      <w:r w:rsidRPr="00C11887">
        <w:rPr>
          <w:rFonts w:ascii="Times New Roman" w:hAnsi="Times New Roman" w:cs="Times New Roman"/>
          <w:iCs/>
          <w:sz w:val="20"/>
          <w:szCs w:val="20"/>
        </w:rPr>
        <w:t xml:space="preserve"> государственной пошлины на 9,8 </w:t>
      </w:r>
      <w:r w:rsidRPr="00C11887">
        <w:rPr>
          <w:rFonts w:ascii="Times New Roman" w:hAnsi="Times New Roman" w:cs="Times New Roman"/>
          <w:sz w:val="20"/>
          <w:szCs w:val="20"/>
        </w:rPr>
        <w:t>процентов</w:t>
      </w:r>
      <w:r w:rsidRPr="00C11887">
        <w:rPr>
          <w:rFonts w:ascii="Times New Roman" w:hAnsi="Times New Roman" w:cs="Times New Roman"/>
          <w:iCs/>
          <w:sz w:val="20"/>
          <w:szCs w:val="20"/>
        </w:rPr>
        <w:t xml:space="preserve"> (на </w:t>
      </w:r>
      <w:r w:rsidRPr="00C11887">
        <w:rPr>
          <w:rFonts w:ascii="Times New Roman" w:hAnsi="Times New Roman" w:cs="Times New Roman"/>
          <w:sz w:val="20"/>
          <w:szCs w:val="20"/>
        </w:rPr>
        <w:t>674,5</w:t>
      </w:r>
      <w:r w:rsidRPr="00C11887">
        <w:rPr>
          <w:rFonts w:ascii="Times New Roman" w:hAnsi="Times New Roman" w:cs="Times New Roman"/>
          <w:iCs/>
          <w:sz w:val="20"/>
          <w:szCs w:val="20"/>
        </w:rPr>
        <w:t>тыс. рублей)</w:t>
      </w:r>
      <w:r w:rsidRPr="00C1188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11887">
        <w:rPr>
          <w:rFonts w:ascii="Times New Roman" w:hAnsi="Times New Roman" w:cs="Times New Roman"/>
          <w:iCs/>
          <w:sz w:val="20"/>
          <w:szCs w:val="20"/>
        </w:rPr>
        <w:t>что обусловлено сокращением количества регистрационных действий уполномоченными органами.</w:t>
      </w: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11887"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Pr="00C11887">
        <w:rPr>
          <w:rFonts w:ascii="Times New Roman" w:hAnsi="Times New Roman" w:cs="Times New Roman"/>
          <w:sz w:val="20"/>
          <w:szCs w:val="20"/>
        </w:rPr>
        <w:t xml:space="preserve">  По</w:t>
      </w:r>
      <w:r w:rsidRPr="00C118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11887">
        <w:rPr>
          <w:rFonts w:ascii="Times New Roman" w:hAnsi="Times New Roman" w:cs="Times New Roman"/>
          <w:sz w:val="20"/>
          <w:szCs w:val="20"/>
        </w:rPr>
        <w:t xml:space="preserve">данным Информационного массива Межрайонной инспекции Федеральной налоговой службы №19 по Челябинской области на 01.01.2024года сумма недоимки  по налоговым платежам в бюджет Карталинского муниципального района увеличилась в сравнении с аналогичным периодом прошлого года на 102,0процентов или на 9083,9тыс.рублей (на 01.01.2023- 8908,7тыс.рублей) и составила 17992,6тыс.рублей, в том числе: </w:t>
      </w: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11887">
        <w:rPr>
          <w:rFonts w:ascii="Times New Roman" w:hAnsi="Times New Roman" w:cs="Times New Roman"/>
          <w:b/>
          <w:sz w:val="20"/>
          <w:szCs w:val="20"/>
        </w:rPr>
        <w:t>-</w:t>
      </w:r>
      <w:r w:rsidRPr="00C11887">
        <w:rPr>
          <w:rFonts w:ascii="Times New Roman" w:hAnsi="Times New Roman" w:cs="Times New Roman"/>
          <w:sz w:val="20"/>
          <w:szCs w:val="20"/>
        </w:rPr>
        <w:t xml:space="preserve"> налог на доходы физических лиц в местный бюджет – 11491,2тыс.рублей (на 01.01.2023года -6692,3тыс.рублей);</w:t>
      </w: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11887">
        <w:rPr>
          <w:rFonts w:ascii="Times New Roman" w:hAnsi="Times New Roman" w:cs="Times New Roman"/>
          <w:sz w:val="20"/>
          <w:szCs w:val="20"/>
        </w:rPr>
        <w:t>-  налог, взимаемый в связи с применением упрощенной системы налогообложения-</w:t>
      </w:r>
      <w:r w:rsidRPr="00C118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1887">
        <w:rPr>
          <w:rFonts w:ascii="Times New Roman" w:hAnsi="Times New Roman" w:cs="Times New Roman"/>
          <w:sz w:val="20"/>
          <w:szCs w:val="20"/>
        </w:rPr>
        <w:t>1688,3тыс.рублей (на 01.01.2023-1134,4тыс.рублей);</w:t>
      </w: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11887">
        <w:rPr>
          <w:rFonts w:ascii="Times New Roman" w:hAnsi="Times New Roman" w:cs="Times New Roman"/>
          <w:sz w:val="20"/>
          <w:szCs w:val="20"/>
        </w:rPr>
        <w:t>- налог, взимаемый в связи с применением патентной системы налогообложения- 98,9тыс.рублей (на 01.01.2023-69,2тыс.рублей);</w:t>
      </w: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11887">
        <w:rPr>
          <w:rFonts w:ascii="Times New Roman" w:hAnsi="Times New Roman" w:cs="Times New Roman"/>
          <w:sz w:val="20"/>
          <w:szCs w:val="20"/>
        </w:rPr>
        <w:t>- налог на добычу общераспространенных полезных ископаемых- 4636,7тыс.рублей (на 01.01.2023-786,1тыс.рублей);</w:t>
      </w: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11887">
        <w:rPr>
          <w:rFonts w:ascii="Times New Roman" w:hAnsi="Times New Roman" w:cs="Times New Roman"/>
          <w:sz w:val="20"/>
          <w:szCs w:val="20"/>
        </w:rPr>
        <w:t>- единый налог на вмененный доход – 77,5тыс.рублей   (на 01.01.2023- 226,7 тыс.рублей).</w:t>
      </w:r>
    </w:p>
    <w:p w:rsidR="00C11887" w:rsidRPr="00C11887" w:rsidRDefault="00C11887" w:rsidP="00C11887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C11887">
        <w:rPr>
          <w:rFonts w:ascii="Times New Roman" w:hAnsi="Times New Roman" w:cs="Times New Roman"/>
          <w:sz w:val="20"/>
          <w:szCs w:val="20"/>
        </w:rPr>
        <w:t xml:space="preserve">В соответствии с произведенным на основании Порядка мониторинга резервов налоговых и неналоговых доходов местных бюджетов (утв. приказом Министерства финансов Челябинской области от 03.03.2017 № 01/5-47/1) расчетом, </w:t>
      </w:r>
      <w:r w:rsidRPr="00C11887">
        <w:rPr>
          <w:rFonts w:ascii="Times New Roman" w:hAnsi="Times New Roman" w:cs="Times New Roman"/>
          <w:i/>
          <w:sz w:val="20"/>
          <w:szCs w:val="20"/>
        </w:rPr>
        <w:t>резерв доходов района в 2024 году в связи с наличием недоимки по налоговым платежам составит 5397,8 тыс. рублей.</w:t>
      </w:r>
    </w:p>
    <w:p w:rsidR="008B4901" w:rsidRPr="00E77BD5" w:rsidRDefault="008B4901" w:rsidP="00EE74B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BD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Неналоговые доходы </w:t>
      </w:r>
    </w:p>
    <w:p w:rsidR="00C11887" w:rsidRPr="00C11887" w:rsidRDefault="00C11887" w:rsidP="00EE74B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C11887">
        <w:rPr>
          <w:rFonts w:ascii="Times New Roman" w:hAnsi="Times New Roman" w:cs="Times New Roman"/>
          <w:sz w:val="20"/>
          <w:szCs w:val="28"/>
        </w:rPr>
        <w:t xml:space="preserve">Поступление неналоговых доходов районного бюджета за 2023 год составило 43322,8тыс. рублей или 112,7процентов плановых (прогнозных) показателей (38425,0тыс.рублей). </w:t>
      </w:r>
    </w:p>
    <w:p w:rsidR="00650C7D" w:rsidRPr="00C11887" w:rsidRDefault="00C11887" w:rsidP="00EE74B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4"/>
          <w:szCs w:val="20"/>
        </w:rPr>
      </w:pPr>
      <w:r w:rsidRPr="00C11887">
        <w:rPr>
          <w:rFonts w:ascii="Times New Roman" w:hAnsi="Times New Roman" w:cs="Times New Roman"/>
          <w:sz w:val="20"/>
          <w:szCs w:val="28"/>
        </w:rPr>
        <w:t>В сравнении с 2022годом (45309,8тыс.рублей) поступления неналоговых доходов в район  снизились на 4,4процентов (на 1987,0тыс.рублей). Информация об исполнении неналоговых доходов районного бюджета за 2022-2023годы представлена в таблице 6.</w:t>
      </w:r>
    </w:p>
    <w:p w:rsidR="00EE74B2" w:rsidRPr="00EE74B2" w:rsidRDefault="00EE74B2" w:rsidP="00EE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</w:t>
      </w:r>
      <w:r w:rsidRPr="00EE74B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Таблица 6</w:t>
      </w:r>
    </w:p>
    <w:p w:rsidR="00EE74B2" w:rsidRPr="00EE74B2" w:rsidRDefault="00EE74B2" w:rsidP="00EE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E74B2">
        <w:rPr>
          <w:rFonts w:ascii="Times New Roman" w:eastAsia="Times New Roman" w:hAnsi="Times New Roman" w:cs="Times New Roman"/>
          <w:sz w:val="16"/>
          <w:szCs w:val="16"/>
        </w:rPr>
        <w:t xml:space="preserve"> (тыс.рублей)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850"/>
        <w:gridCol w:w="709"/>
        <w:gridCol w:w="709"/>
        <w:gridCol w:w="1275"/>
        <w:gridCol w:w="993"/>
      </w:tblGrid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  <w:vMerge w:val="restart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962" w:type="dxa"/>
            <w:vMerge w:val="restart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неналоговых доходов</w:t>
            </w:r>
          </w:p>
        </w:tc>
        <w:tc>
          <w:tcPr>
            <w:tcW w:w="850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2022год</w:t>
            </w:r>
          </w:p>
        </w:tc>
        <w:tc>
          <w:tcPr>
            <w:tcW w:w="2693" w:type="dxa"/>
            <w:gridSpan w:val="3"/>
          </w:tcPr>
          <w:p w:rsidR="00EE74B2" w:rsidRPr="00EE74B2" w:rsidRDefault="00EE74B2" w:rsidP="00E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2023год</w:t>
            </w:r>
          </w:p>
        </w:tc>
        <w:tc>
          <w:tcPr>
            <w:tcW w:w="993" w:type="dxa"/>
            <w:vMerge w:val="restart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Исполнение в 2023 к 2022 году</w:t>
            </w:r>
          </w:p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(в  %)</w:t>
            </w:r>
          </w:p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7=5:3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67" w:type="dxa"/>
            <w:vMerge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Исполнено </w:t>
            </w:r>
          </w:p>
        </w:tc>
        <w:tc>
          <w:tcPr>
            <w:tcW w:w="709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Утверждено </w:t>
            </w:r>
          </w:p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Исполнено </w:t>
            </w:r>
          </w:p>
        </w:tc>
        <w:tc>
          <w:tcPr>
            <w:tcW w:w="1275" w:type="dxa"/>
            <w:shd w:val="clear" w:color="auto" w:fill="auto"/>
          </w:tcPr>
          <w:p w:rsidR="00EE74B2" w:rsidRPr="00EE74B2" w:rsidRDefault="00EE74B2" w:rsidP="00EE74B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Исполнено</w:t>
            </w:r>
          </w:p>
          <w:p w:rsidR="00EE74B2" w:rsidRPr="00EE74B2" w:rsidRDefault="00EE74B2" w:rsidP="00EE74B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 утвержденному плану (в %)</w:t>
            </w:r>
          </w:p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E74B2" w:rsidRPr="00EE74B2" w:rsidRDefault="00EE74B2" w:rsidP="00E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E74B2" w:rsidRPr="00EE74B2" w:rsidRDefault="00EE74B2" w:rsidP="00E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E74B2" w:rsidRPr="00EE74B2" w:rsidRDefault="00EE74B2" w:rsidP="00E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74B2" w:rsidRPr="00EE74B2" w:rsidRDefault="00EE74B2" w:rsidP="00E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E74B2" w:rsidRPr="00EE74B2" w:rsidRDefault="00EE74B2" w:rsidP="00E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8220,3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4365,0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7264,5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166,4</w:t>
            </w:r>
          </w:p>
        </w:tc>
        <w:tc>
          <w:tcPr>
            <w:tcW w:w="993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Доходы, получаемые в виде арендной платы за земли после 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993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850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136,2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211,5</w:t>
            </w:r>
          </w:p>
        </w:tc>
        <w:tc>
          <w:tcPr>
            <w:tcW w:w="993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144,9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850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6124,7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4392,0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5525,4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993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90,2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0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1478,7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1544,7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364,5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993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24,6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24817,5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25773,0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25635,7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993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2817,4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928,9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2574,7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277,2</w:t>
            </w:r>
          </w:p>
        </w:tc>
        <w:tc>
          <w:tcPr>
            <w:tcW w:w="993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91,4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1701,9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1324,0</w:t>
            </w: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1780,0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993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104,6</w:t>
            </w: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67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4962" w:type="dxa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-3,8</w:t>
            </w:r>
          </w:p>
        </w:tc>
        <w:tc>
          <w:tcPr>
            <w:tcW w:w="709" w:type="dxa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74B2" w:rsidRPr="00EE74B2" w:rsidTr="00EE74B2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529" w:type="dxa"/>
            <w:gridSpan w:val="2"/>
          </w:tcPr>
          <w:p w:rsidR="00EE74B2" w:rsidRPr="00EE74B2" w:rsidRDefault="00EE74B2" w:rsidP="00EE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45309,8</w:t>
            </w:r>
          </w:p>
        </w:tc>
        <w:tc>
          <w:tcPr>
            <w:tcW w:w="709" w:type="dxa"/>
          </w:tcPr>
          <w:p w:rsidR="00EE74B2" w:rsidRPr="00EE74B2" w:rsidRDefault="00EE74B2" w:rsidP="00EE74B2">
            <w:pPr>
              <w:spacing w:after="0" w:line="240" w:lineRule="auto"/>
              <w:ind w:hanging="29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38425,0</w:t>
            </w:r>
          </w:p>
        </w:tc>
        <w:tc>
          <w:tcPr>
            <w:tcW w:w="709" w:type="dxa"/>
            <w:vAlign w:val="center"/>
          </w:tcPr>
          <w:p w:rsidR="00EE74B2" w:rsidRPr="00EE74B2" w:rsidRDefault="00EE74B2" w:rsidP="00EE74B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43322,8</w:t>
            </w:r>
          </w:p>
        </w:tc>
        <w:tc>
          <w:tcPr>
            <w:tcW w:w="1275" w:type="dxa"/>
            <w:shd w:val="clear" w:color="auto" w:fill="auto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112,7</w:t>
            </w:r>
          </w:p>
        </w:tc>
        <w:tc>
          <w:tcPr>
            <w:tcW w:w="993" w:type="dxa"/>
            <w:vAlign w:val="bottom"/>
          </w:tcPr>
          <w:p w:rsidR="00EE74B2" w:rsidRPr="00EE74B2" w:rsidRDefault="00EE74B2" w:rsidP="00EE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74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</w:tr>
    </w:tbl>
    <w:p w:rsidR="00EE74B2" w:rsidRDefault="00EE74B2" w:rsidP="00650C7D">
      <w:pPr>
        <w:pStyle w:val="a8"/>
        <w:spacing w:after="0"/>
        <w:jc w:val="both"/>
        <w:rPr>
          <w:sz w:val="20"/>
          <w:szCs w:val="20"/>
        </w:rPr>
      </w:pPr>
    </w:p>
    <w:p w:rsidR="00FC1F7C" w:rsidRPr="00FC1F7C" w:rsidRDefault="00FC1F7C" w:rsidP="00FC1F7C">
      <w:pPr>
        <w:pStyle w:val="a8"/>
        <w:spacing w:after="0"/>
        <w:ind w:firstLine="425"/>
        <w:jc w:val="both"/>
        <w:rPr>
          <w:sz w:val="20"/>
          <w:szCs w:val="20"/>
        </w:rPr>
      </w:pPr>
      <w:r w:rsidRPr="00FC1F7C">
        <w:rPr>
          <w:sz w:val="20"/>
          <w:szCs w:val="20"/>
        </w:rPr>
        <w:t xml:space="preserve">Наибольший удельный вес в исполнении неналоговых доходов занимают доходы от оказания платных услуг и компенсации затрат государства -59,2процентов от суммы неналоговых поступлений. 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sz w:val="20"/>
          <w:szCs w:val="20"/>
        </w:rPr>
        <w:t>В сравнении с фактическим исполнением предыдущего года наблюдается: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sz w:val="20"/>
          <w:szCs w:val="20"/>
        </w:rPr>
        <w:t xml:space="preserve"> * </w:t>
      </w:r>
      <w:r w:rsidRPr="00FC1F7C">
        <w:rPr>
          <w:rFonts w:ascii="Times New Roman" w:eastAsia="Times New Roman" w:hAnsi="Times New Roman" w:cs="Times New Roman"/>
          <w:i/>
          <w:sz w:val="20"/>
          <w:szCs w:val="20"/>
        </w:rPr>
        <w:t>рост поступлений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sz w:val="20"/>
          <w:szCs w:val="20"/>
        </w:rPr>
        <w:t>-  от сдачи в аренду имущества, находящегося в оперативном управлении на 44,9процентов (на 42,2тыс.рублей);</w:t>
      </w:r>
    </w:p>
    <w:p w:rsidR="00FC1F7C" w:rsidRPr="00FC1F7C" w:rsidRDefault="00FC1F7C" w:rsidP="00FC1F7C">
      <w:pPr>
        <w:pStyle w:val="a8"/>
        <w:spacing w:after="0"/>
        <w:ind w:firstLine="425"/>
        <w:jc w:val="both"/>
        <w:rPr>
          <w:iCs/>
          <w:sz w:val="20"/>
          <w:szCs w:val="20"/>
        </w:rPr>
      </w:pPr>
      <w:r w:rsidRPr="00FC1F7C">
        <w:rPr>
          <w:sz w:val="20"/>
          <w:szCs w:val="20"/>
        </w:rPr>
        <w:t xml:space="preserve">- от оказания платных услуг (работ) и компенсации затрат государства  </w:t>
      </w:r>
      <w:r w:rsidRPr="00FC1F7C">
        <w:rPr>
          <w:iCs/>
          <w:sz w:val="20"/>
          <w:szCs w:val="20"/>
        </w:rPr>
        <w:t>на 3,3 процентов (на 818,2 тыс. рублей);</w:t>
      </w:r>
    </w:p>
    <w:p w:rsidR="00FC1F7C" w:rsidRPr="00FC1F7C" w:rsidRDefault="00FC1F7C" w:rsidP="00FC1F7C">
      <w:pPr>
        <w:pStyle w:val="a8"/>
        <w:spacing w:after="0"/>
        <w:ind w:firstLine="425"/>
        <w:jc w:val="both"/>
        <w:rPr>
          <w:sz w:val="20"/>
          <w:szCs w:val="20"/>
        </w:rPr>
      </w:pPr>
      <w:r w:rsidRPr="00FC1F7C">
        <w:rPr>
          <w:sz w:val="20"/>
          <w:szCs w:val="20"/>
        </w:rPr>
        <w:t>- от</w:t>
      </w:r>
      <w:r w:rsidRPr="00FC1F7C">
        <w:rPr>
          <w:b/>
          <w:sz w:val="20"/>
          <w:szCs w:val="20"/>
        </w:rPr>
        <w:t xml:space="preserve"> </w:t>
      </w:r>
      <w:r w:rsidRPr="00FC1F7C">
        <w:rPr>
          <w:sz w:val="20"/>
          <w:szCs w:val="20"/>
        </w:rPr>
        <w:t>штрафов, санкций, возмещение ущерба на 4,6процентов (на 78,1тыс.рублей).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b/>
          <w:i/>
          <w:sz w:val="20"/>
          <w:szCs w:val="20"/>
        </w:rPr>
        <w:t>*</w:t>
      </w:r>
      <w:r w:rsidRPr="00FC1F7C">
        <w:rPr>
          <w:rFonts w:ascii="Times New Roman" w:eastAsia="Times New Roman" w:hAnsi="Times New Roman" w:cs="Times New Roman"/>
          <w:i/>
          <w:sz w:val="20"/>
          <w:szCs w:val="20"/>
        </w:rPr>
        <w:t>снижение</w:t>
      </w:r>
      <w:r w:rsidRPr="00FC1F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1F7C">
        <w:rPr>
          <w:rFonts w:ascii="Times New Roman" w:eastAsia="Times New Roman" w:hAnsi="Times New Roman" w:cs="Times New Roman"/>
          <w:i/>
          <w:sz w:val="20"/>
          <w:szCs w:val="20"/>
        </w:rPr>
        <w:t>поступлений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sz w:val="20"/>
          <w:szCs w:val="20"/>
        </w:rPr>
        <w:t xml:space="preserve">-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на 11,6процентов (на 955,8тыс.рублей); 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sz w:val="20"/>
          <w:szCs w:val="20"/>
        </w:rPr>
        <w:t>- в виде арендной платы за земли после 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на 42,1процента (на 24,9тыс.рублей);</w:t>
      </w:r>
    </w:p>
    <w:p w:rsidR="00FC1F7C" w:rsidRPr="00FC1F7C" w:rsidRDefault="00FC1F7C" w:rsidP="00FC1F7C">
      <w:pPr>
        <w:pStyle w:val="a8"/>
        <w:spacing w:after="0"/>
        <w:ind w:firstLine="425"/>
        <w:jc w:val="both"/>
        <w:rPr>
          <w:iCs/>
          <w:sz w:val="20"/>
          <w:szCs w:val="20"/>
        </w:rPr>
      </w:pPr>
      <w:r w:rsidRPr="00FC1F7C">
        <w:rPr>
          <w:iCs/>
          <w:sz w:val="20"/>
          <w:szCs w:val="20"/>
        </w:rPr>
        <w:t>-</w:t>
      </w:r>
      <w:r w:rsidRPr="00FC1F7C">
        <w:rPr>
          <w:b/>
          <w:sz w:val="20"/>
          <w:szCs w:val="20"/>
        </w:rPr>
        <w:t xml:space="preserve"> </w:t>
      </w:r>
      <w:r w:rsidRPr="00FC1F7C">
        <w:rPr>
          <w:sz w:val="20"/>
          <w:szCs w:val="20"/>
        </w:rPr>
        <w:t xml:space="preserve">от сдачи в аренду имущества, составляющего муниципальную казну (за исключением земельных участков) на 9,8процентов (на 599,3тыс.рублей); </w:t>
      </w:r>
    </w:p>
    <w:p w:rsidR="00FC1F7C" w:rsidRPr="00FC1F7C" w:rsidRDefault="00FC1F7C" w:rsidP="00FC1F7C">
      <w:pPr>
        <w:pStyle w:val="a8"/>
        <w:spacing w:after="0"/>
        <w:ind w:firstLine="425"/>
        <w:jc w:val="both"/>
        <w:rPr>
          <w:sz w:val="20"/>
          <w:szCs w:val="20"/>
        </w:rPr>
      </w:pPr>
      <w:r w:rsidRPr="00FC1F7C">
        <w:rPr>
          <w:sz w:val="20"/>
          <w:szCs w:val="20"/>
        </w:rPr>
        <w:t>- платы за негативное воздействие на окружающую среду на 75,4процента (на 1114,2тыс.рублей);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sz w:val="20"/>
          <w:szCs w:val="20"/>
        </w:rPr>
        <w:t xml:space="preserve">- от продажи материальных и нематериальных активов на 8,6процентов (на 242,7тыс.рублей) </w:t>
      </w:r>
    </w:p>
    <w:p w:rsidR="00FC1F7C" w:rsidRPr="00FC1F7C" w:rsidRDefault="00FC1F7C" w:rsidP="00FC1F7C">
      <w:pPr>
        <w:pStyle w:val="a8"/>
        <w:spacing w:after="0"/>
        <w:ind w:firstLine="425"/>
        <w:jc w:val="both"/>
        <w:rPr>
          <w:sz w:val="20"/>
          <w:szCs w:val="20"/>
        </w:rPr>
      </w:pPr>
      <w:r w:rsidRPr="00FC1F7C">
        <w:rPr>
          <w:sz w:val="20"/>
          <w:szCs w:val="20"/>
        </w:rPr>
        <w:t xml:space="preserve">Поступления в бюджет от перечисления части чистой прибыли муниципальных унитарных предприятий в 2023году отсутствуют. 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sz w:val="20"/>
          <w:szCs w:val="20"/>
        </w:rPr>
        <w:t>Согласно отчетности главного администратора доходов - Управления по имущественной и земельной политике Карталинского муниципального района, размер просроченной задолженности в местный бюджет на 01.01.2024года снизился в сравнении с аналогичным периодом прошлого года на 1984,8тыс.рублей или на 16,4процентов (на 01.01.2023года- 12065,0тыс.рублей) и составил 10080,2тыс.рублей: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sz w:val="20"/>
          <w:szCs w:val="20"/>
        </w:rPr>
        <w:t xml:space="preserve">-  по доходам от арендной платы за земельные участки 4691,4тыс.рублей (на 01.01.2023- 7574,0тыс.рублей); 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sz w:val="20"/>
          <w:szCs w:val="20"/>
        </w:rPr>
        <w:t xml:space="preserve">- по доходам от сдачи в аренду имущества муниципального района –2659,0тыс.рублей (на 01.01.2023 -2415,8тыс.рублей); </w:t>
      </w:r>
    </w:p>
    <w:p w:rsidR="00FC1F7C" w:rsidRPr="00FC1F7C" w:rsidRDefault="00FC1F7C" w:rsidP="00FC1F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7C">
        <w:rPr>
          <w:rFonts w:ascii="Times New Roman" w:eastAsia="Times New Roman" w:hAnsi="Times New Roman" w:cs="Times New Roman"/>
          <w:sz w:val="20"/>
          <w:szCs w:val="20"/>
        </w:rPr>
        <w:t>- задолженность муниципальных унитарных предприятий по перечислению части прибыли – 2729,8тыс.рублей, в том числе: МУП «Автовокзал» (663,6тыс.рублей) –признан банкротом, открыто конкурсное производство, МУП «Спецстрой» (2066,2тыс.рублей);</w:t>
      </w:r>
    </w:p>
    <w:p w:rsidR="00FC1F7C" w:rsidRDefault="00FC1F7C" w:rsidP="00FC1F7C">
      <w:pPr>
        <w:spacing w:after="0" w:line="240" w:lineRule="auto"/>
        <w:ind w:firstLine="425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FC1F7C">
        <w:rPr>
          <w:rFonts w:ascii="Times New Roman" w:eastAsia="Times New Roman" w:hAnsi="Times New Roman" w:cs="Times New Roman"/>
          <w:i/>
          <w:sz w:val="20"/>
          <w:szCs w:val="20"/>
        </w:rPr>
        <w:t>Вышеперечисленная просроченная задолженность в бюджет по неналоговым доходам в размере 50процентов от общей суммы (10080,2тыс.рублей), что составляет 5040,1тыс.рублей, является резервом</w:t>
      </w:r>
      <w:r>
        <w:rPr>
          <w:rFonts w:ascii="Times New Roman" w:hAnsi="Times New Roman" w:cs="Times New Roman"/>
          <w:i/>
          <w:sz w:val="20"/>
          <w:szCs w:val="20"/>
        </w:rPr>
        <w:t xml:space="preserve">  пополнения районного </w:t>
      </w:r>
      <w:r w:rsidRPr="00FC1F7C">
        <w:rPr>
          <w:rFonts w:ascii="Times New Roman" w:eastAsia="Times New Roman" w:hAnsi="Times New Roman" w:cs="Times New Roman"/>
          <w:i/>
          <w:sz w:val="20"/>
          <w:szCs w:val="20"/>
        </w:rPr>
        <w:t>бюджета в 2024году</w:t>
      </w:r>
      <w:r w:rsidRPr="00C0755E">
        <w:rPr>
          <w:rFonts w:ascii="Calibri" w:eastAsia="Times New Roman" w:hAnsi="Calibri" w:cs="Times New Roman"/>
          <w:i/>
          <w:sz w:val="28"/>
          <w:szCs w:val="28"/>
        </w:rPr>
        <w:t>.</w:t>
      </w:r>
    </w:p>
    <w:p w:rsidR="00FC1F7C" w:rsidRDefault="00FC1F7C" w:rsidP="00650C7D">
      <w:pPr>
        <w:pStyle w:val="a8"/>
        <w:spacing w:after="0"/>
        <w:jc w:val="both"/>
        <w:rPr>
          <w:sz w:val="20"/>
          <w:szCs w:val="20"/>
        </w:rPr>
      </w:pP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BD5">
        <w:rPr>
          <w:rFonts w:ascii="Times New Roman" w:hAnsi="Times New Roman" w:cs="Times New Roman"/>
          <w:b/>
          <w:i/>
          <w:sz w:val="20"/>
          <w:szCs w:val="20"/>
        </w:rPr>
        <w:t>3. Безвозмездные поступления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 xml:space="preserve">В 2023году безвозмездные поступления исполнены </w:t>
      </w:r>
      <w:r w:rsidRPr="00FC1F7C">
        <w:rPr>
          <w:rFonts w:ascii="Times New Roman" w:hAnsi="Times New Roman" w:cs="Times New Roman"/>
          <w:iCs/>
          <w:sz w:val="20"/>
          <w:szCs w:val="20"/>
        </w:rPr>
        <w:t xml:space="preserve"> на сумму </w:t>
      </w:r>
      <w:r w:rsidRPr="00FC1F7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1712618,7тыс.рублей </w:t>
      </w:r>
      <w:r w:rsidRPr="00FC1F7C">
        <w:rPr>
          <w:rFonts w:ascii="Times New Roman" w:hAnsi="Times New Roman" w:cs="Times New Roman"/>
          <w:sz w:val="20"/>
          <w:szCs w:val="20"/>
        </w:rPr>
        <w:t>или 95,0процентов от утвержденных бюджетных назначений (</w:t>
      </w:r>
      <w:r w:rsidRPr="00FC1F7C">
        <w:rPr>
          <w:rFonts w:ascii="Times New Roman" w:hAnsi="Times New Roman" w:cs="Times New Roman"/>
          <w:bCs/>
          <w:color w:val="000000"/>
          <w:sz w:val="20"/>
          <w:szCs w:val="20"/>
        </w:rPr>
        <w:t>1802697,1</w:t>
      </w:r>
      <w:r w:rsidRPr="00FC1F7C">
        <w:rPr>
          <w:rFonts w:ascii="Times New Roman" w:hAnsi="Times New Roman" w:cs="Times New Roman"/>
          <w:sz w:val="20"/>
          <w:szCs w:val="20"/>
        </w:rPr>
        <w:t>тыс.рублей).</w:t>
      </w:r>
    </w:p>
    <w:p w:rsidR="00650C7D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>Анализ исполнения безвозмездных поступлений за 2023год представлен в таблице 7.</w:t>
      </w:r>
    </w:p>
    <w:p w:rsidR="00FC1F7C" w:rsidRPr="00FC1F7C" w:rsidRDefault="00FC1F7C" w:rsidP="00FC1F7C">
      <w:pPr>
        <w:pStyle w:val="31"/>
        <w:spacing w:line="276" w:lineRule="auto"/>
        <w:ind w:firstLine="720"/>
        <w:jc w:val="right"/>
        <w:rPr>
          <w:iCs/>
          <w:sz w:val="16"/>
          <w:szCs w:val="16"/>
        </w:rPr>
      </w:pPr>
      <w:r w:rsidRPr="00FC1F7C">
        <w:rPr>
          <w:iCs/>
          <w:sz w:val="16"/>
          <w:szCs w:val="16"/>
        </w:rPr>
        <w:t xml:space="preserve">                                                                                                                          Таблица 7</w:t>
      </w:r>
    </w:p>
    <w:p w:rsidR="00FC1F7C" w:rsidRPr="00FC1F7C" w:rsidRDefault="00FC1F7C" w:rsidP="00FC1F7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C1F7C">
        <w:rPr>
          <w:rFonts w:ascii="Times New Roman" w:hAnsi="Times New Roman" w:cs="Times New Roman"/>
          <w:sz w:val="16"/>
          <w:szCs w:val="16"/>
        </w:rPr>
        <w:t>(тыс.рублей)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851"/>
        <w:gridCol w:w="850"/>
        <w:gridCol w:w="993"/>
        <w:gridCol w:w="992"/>
        <w:gridCol w:w="1276"/>
      </w:tblGrid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Справочноисполнено в 2022году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Справочноисполнено в 2021году</w:t>
            </w:r>
          </w:p>
        </w:tc>
      </w:tr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1802697,1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1712618,7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1688355,3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1501988,50</w:t>
            </w:r>
          </w:p>
        </w:tc>
      </w:tr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Р.Ф., 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1800038,9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1712722,4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1712992,0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1507272,30</w:t>
            </w:r>
          </w:p>
        </w:tc>
      </w:tr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210835,5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210835,5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293216,1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383208,90</w:t>
            </w:r>
          </w:p>
        </w:tc>
      </w:tr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588506,0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506840,9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487578,9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201026,6</w:t>
            </w:r>
          </w:p>
        </w:tc>
      </w:tr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821189,7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816966,8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789998,6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789877,5</w:t>
            </w:r>
          </w:p>
        </w:tc>
      </w:tr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179507,7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178079,2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142198,4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133159,3</w:t>
            </w:r>
          </w:p>
        </w:tc>
      </w:tr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2658,2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3858,8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1041,1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1941,2</w:t>
            </w:r>
          </w:p>
        </w:tc>
      </w:tr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1838,6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26,7</w:t>
            </w:r>
          </w:p>
        </w:tc>
      </w:tr>
      <w:tr w:rsidR="00FC1F7C" w:rsidRPr="00FC1F7C" w:rsidTr="00FC1F7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-4076,5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1F7C" w:rsidRPr="00FC1F7C" w:rsidRDefault="00FC1F7C" w:rsidP="00FC1F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-27516,4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7C" w:rsidRPr="00FC1F7C" w:rsidRDefault="00FC1F7C" w:rsidP="00FC1F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-7251,7</w:t>
            </w:r>
          </w:p>
        </w:tc>
      </w:tr>
    </w:tbl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bCs/>
          <w:color w:val="000000"/>
          <w:sz w:val="20"/>
          <w:szCs w:val="20"/>
        </w:rPr>
        <w:t>Безвозмездные поступления от других бюджетов бюджетной системы РФ исполнены в отчетном году на сумму 1712722,4тыс.рублей или 95,1тыс.рублей к годовым плановым показателям (в</w:t>
      </w:r>
      <w:r w:rsidRPr="00FC1F7C">
        <w:rPr>
          <w:rFonts w:ascii="Times New Roman" w:hAnsi="Times New Roman" w:cs="Times New Roman"/>
          <w:sz w:val="20"/>
          <w:szCs w:val="20"/>
        </w:rPr>
        <w:t xml:space="preserve"> сравнении с 2022годом снизились на 269,6тыс.рублей), из них:</w:t>
      </w:r>
    </w:p>
    <w:p w:rsidR="00FC1F7C" w:rsidRPr="00FC1F7C" w:rsidRDefault="00FC1F7C" w:rsidP="00FC1F7C">
      <w:pPr>
        <w:pStyle w:val="31"/>
        <w:ind w:firstLine="425"/>
        <w:rPr>
          <w:iCs/>
          <w:sz w:val="20"/>
          <w:szCs w:val="20"/>
        </w:rPr>
      </w:pPr>
      <w:r w:rsidRPr="00FC1F7C">
        <w:rPr>
          <w:iCs/>
          <w:sz w:val="20"/>
          <w:szCs w:val="20"/>
        </w:rPr>
        <w:t xml:space="preserve">- дотации в сумме </w:t>
      </w:r>
      <w:r w:rsidRPr="00FC1F7C">
        <w:rPr>
          <w:sz w:val="20"/>
          <w:szCs w:val="20"/>
        </w:rPr>
        <w:t>210835,5тыс.рублей</w:t>
      </w:r>
      <w:r w:rsidRPr="00FC1F7C">
        <w:rPr>
          <w:iCs/>
          <w:sz w:val="20"/>
          <w:szCs w:val="20"/>
        </w:rPr>
        <w:t xml:space="preserve"> (исполнение 100процентов), со снижением к 2022 году на 82380,6тыс. рублей или на 28,1 процентов (2022год-293216,1 тыс. рублей), </w:t>
      </w:r>
    </w:p>
    <w:p w:rsidR="00FC1F7C" w:rsidRPr="00FC1F7C" w:rsidRDefault="00FC1F7C" w:rsidP="00FC1F7C">
      <w:pPr>
        <w:pStyle w:val="31"/>
        <w:ind w:firstLine="425"/>
        <w:rPr>
          <w:iCs/>
          <w:sz w:val="20"/>
          <w:szCs w:val="20"/>
        </w:rPr>
      </w:pPr>
      <w:r w:rsidRPr="00FC1F7C">
        <w:rPr>
          <w:iCs/>
          <w:sz w:val="20"/>
          <w:szCs w:val="20"/>
        </w:rPr>
        <w:t>- субсидии в сумме 506840,9 тыс. рублей (исполнение 86,1процентов), выше уровня прошлого года на 19262,0 тыс. рублей или на 4,0процента (2022 год-487578,9 тыс. рублей),</w:t>
      </w:r>
    </w:p>
    <w:p w:rsidR="00FC1F7C" w:rsidRPr="00FC1F7C" w:rsidRDefault="00FC1F7C" w:rsidP="00FC1F7C">
      <w:pPr>
        <w:pStyle w:val="31"/>
        <w:ind w:firstLine="425"/>
        <w:rPr>
          <w:iCs/>
          <w:sz w:val="20"/>
          <w:szCs w:val="20"/>
        </w:rPr>
      </w:pPr>
      <w:r w:rsidRPr="00FC1F7C">
        <w:rPr>
          <w:iCs/>
          <w:sz w:val="20"/>
          <w:szCs w:val="20"/>
        </w:rPr>
        <w:t>- субвенции в сумме 816966,8 тыс. рублей (исполнение 99,5процентов), выше уровня аналогичного периода прошлого года на 26968,2 тыс. рублей или на 3,4процента (2022 год-789998,6 тыс. рублей),</w:t>
      </w:r>
    </w:p>
    <w:p w:rsidR="00FC1F7C" w:rsidRPr="00FC1F7C" w:rsidRDefault="00FC1F7C" w:rsidP="00FC1F7C">
      <w:pPr>
        <w:pStyle w:val="31"/>
        <w:ind w:firstLine="425"/>
        <w:rPr>
          <w:iCs/>
          <w:sz w:val="20"/>
          <w:szCs w:val="20"/>
        </w:rPr>
      </w:pPr>
      <w:r w:rsidRPr="00FC1F7C">
        <w:rPr>
          <w:iCs/>
          <w:sz w:val="20"/>
          <w:szCs w:val="20"/>
        </w:rPr>
        <w:t xml:space="preserve">- иные межбюджетные трансферты, </w:t>
      </w:r>
      <w:r w:rsidRPr="00FC1F7C">
        <w:rPr>
          <w:sz w:val="20"/>
          <w:szCs w:val="20"/>
        </w:rPr>
        <w:t xml:space="preserve">передаваемые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  в сумме </w:t>
      </w:r>
      <w:r w:rsidRPr="00FC1F7C">
        <w:rPr>
          <w:iCs/>
          <w:sz w:val="20"/>
          <w:szCs w:val="20"/>
        </w:rPr>
        <w:t>178079,2 тыс. рублей (исполнение 99,2процентов), с ростом к 2022 году на 35880,8 тыс. рублей или на 25,2процента (2022 год-142198,4 тыс. рублей).</w:t>
      </w:r>
    </w:p>
    <w:p w:rsidR="00FC1F7C" w:rsidRPr="00FC1F7C" w:rsidRDefault="00FC1F7C" w:rsidP="00FC1F7C">
      <w:pPr>
        <w:pStyle w:val="31"/>
        <w:ind w:firstLine="425"/>
        <w:rPr>
          <w:iCs/>
          <w:sz w:val="20"/>
          <w:szCs w:val="20"/>
        </w:rPr>
      </w:pPr>
      <w:r w:rsidRPr="00FC1F7C">
        <w:rPr>
          <w:iCs/>
          <w:sz w:val="20"/>
          <w:szCs w:val="20"/>
        </w:rPr>
        <w:t xml:space="preserve">Прочие безвозмездные поступления за 2023 год составили 3858,8 тыс. рублей или 145,2процентов к годовым плановым показателям. </w:t>
      </w:r>
    </w:p>
    <w:p w:rsidR="00FC1F7C" w:rsidRPr="00FC1F7C" w:rsidRDefault="00FC1F7C" w:rsidP="00FC1F7C">
      <w:pPr>
        <w:pStyle w:val="31"/>
        <w:ind w:firstLine="425"/>
        <w:rPr>
          <w:color w:val="000000"/>
          <w:sz w:val="20"/>
          <w:szCs w:val="20"/>
        </w:rPr>
      </w:pPr>
      <w:r w:rsidRPr="00FC1F7C">
        <w:rPr>
          <w:color w:val="000000"/>
          <w:sz w:val="20"/>
          <w:szCs w:val="20"/>
        </w:rPr>
        <w:t>Возвращены остатки субсидий, субвенций и иных межбюджетных трансфертов, имеющих целевое назначение, прошлых лет в бюджет района-4076,5тыс.рублей.</w:t>
      </w:r>
    </w:p>
    <w:p w:rsidR="008B4901" w:rsidRDefault="00650C7D" w:rsidP="00FC1F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BD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8B4901" w:rsidRPr="00E77BD5">
        <w:rPr>
          <w:rFonts w:ascii="Times New Roman" w:hAnsi="Times New Roman" w:cs="Times New Roman"/>
          <w:b/>
          <w:sz w:val="20"/>
          <w:szCs w:val="20"/>
        </w:rPr>
        <w:t>Расходы бюджета</w:t>
      </w:r>
    </w:p>
    <w:p w:rsidR="00FC1F7C" w:rsidRPr="00FC1F7C" w:rsidRDefault="00FC1F7C" w:rsidP="00FC1F7C">
      <w:pPr>
        <w:keepNext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>В 2023году районный бюджет по расходам  исполнен в объеме 2505828,5 тыс. рублей или 98,4процента от годовых назначений (2545651,4  тыс.рублей). Общий  объем исполненных расходов бюджета в 2023году в сравнении с предыдущим отчетным периодом (2022год- 2317135,6тыс. рублей) увеличился на 8,1 процентов.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>Муниципальные гарантии в 2023 году не предоставлялись.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>Муниципальные заимствования в 2023году не производились.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>Муниципальный долг на 01.01.2023года составлял 0,0тыс.рублей, на 31.12.2023года  - 0,0тыс.рублей.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 xml:space="preserve">Доля социально-ориентируемых расходов в 2023году составила в структуре расходов 64,9процентов или 1627440,9 тыс.рублей, уменьшилась на 4,7процента против 2022года (69,6%).  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 xml:space="preserve">На территории района в 2023году планировались и фактически исполнялись мероприятия по 42 муниципальным программам (в 2022году-по 39муниципальным программам). В рамках муниципальных программ осуществлены расходы в сфере образования, культуры, спорта, социального обслуживания населения, строительства и жилищно-коммунальной сферы, благоустройства, сельского хозяйства, управления имуществом. Профинансированы все включенные в решение о районном бюджете муниципальные программы. Расходы на их реализацию составили  2360772,2 тыс.рублей или 98,5процентов уточненных бюджетных назначений по муниципальным программам (2396479,7тыс.рублей). В сравнении с  2022годом расходы на реализацию увеличились на 173166,5тыс.рублей или на 7,9процентов. 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>Из 42 муниципальных программ в полном объеме (100%) исполнены расходы по 19 муниципальным программам. Низкие показатели освоения бюджетных средств (менее 90,0% исполнения плановых показателей) сложились по муниципальным программам:</w:t>
      </w:r>
    </w:p>
    <w:p w:rsidR="00FC1F7C" w:rsidRPr="00FC1F7C" w:rsidRDefault="00FC1F7C" w:rsidP="00FC1F7C">
      <w:pPr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>«Комплексное развитие сельских территорий Карталинского муниципального района Челябинской области на 2023-2025годы» (отве</w:t>
      </w:r>
      <w:r w:rsidR="00B8562B">
        <w:rPr>
          <w:rFonts w:ascii="Times New Roman" w:hAnsi="Times New Roman" w:cs="Times New Roman"/>
          <w:sz w:val="20"/>
          <w:szCs w:val="20"/>
        </w:rPr>
        <w:t>тственный исполнитель</w:t>
      </w:r>
      <w:r w:rsidRPr="00FC1F7C">
        <w:rPr>
          <w:rFonts w:ascii="Times New Roman" w:hAnsi="Times New Roman" w:cs="Times New Roman"/>
          <w:sz w:val="20"/>
          <w:szCs w:val="20"/>
        </w:rPr>
        <w:t>-Управление строительства, инфраструктуры и жилищно-коммунального хозяйства КМР). Исполнение составило 1,2тыс.рублей или 1,2% от запланированного объема бюджетных средств (100,0тыс.рублей);</w:t>
      </w:r>
    </w:p>
    <w:p w:rsidR="00FC1F7C" w:rsidRPr="00FC1F7C" w:rsidRDefault="00FC1F7C" w:rsidP="00FC1F7C">
      <w:pPr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>«Приобретение движимого и недвижимого имущества для муниципального образования Карталинский муниципальный район на 2021-2023годы» (ответственный исполнитель-Управление по имущественной и земельной политике КМР). Исполнение составило 4580,7тыс.рублей или 72,4% от запланированного объема бюджетных средств (6325,2тыс.рублей);</w:t>
      </w:r>
    </w:p>
    <w:p w:rsidR="00FC1F7C" w:rsidRPr="00FC1F7C" w:rsidRDefault="00FC1F7C" w:rsidP="00FC1F7C">
      <w:pPr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lastRenderedPageBreak/>
        <w:t>Профилактика терроризма на территории Карталинского муниципального района на 2023-2025годы» (ответственный исполнитель- Администрация КМР). Исполнение составило 434,4тыс.рублей или 78,0% от запланированного объема бюджетных средств (557,0тыс.рублей);</w:t>
      </w:r>
    </w:p>
    <w:p w:rsidR="00FC1F7C" w:rsidRPr="00FC1F7C" w:rsidRDefault="00FC1F7C" w:rsidP="00FC1F7C">
      <w:pPr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>«Реализация мероприятий в области градостроительной деятельности на территории Карталинского муниципального района Челябинской области на 2023-2026годы» (ответственный исполнитель  -Управление строительства, инфраструктуры и жилищно-коммунального хозяйства КМР). Исполнение составило 2483,6рублей или 85,6% от запланированного объема бюджетных средств (2900,3тыс.рублей).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>По муниципальной программе «Чистая вода на территории Карталинского муниципального района Челябинской области на 2021-2025годы» исполнение отсутствует.</w:t>
      </w:r>
    </w:p>
    <w:p w:rsidR="00FC1F7C" w:rsidRPr="00FC1F7C" w:rsidRDefault="00FC1F7C" w:rsidP="00FC1F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1F7C">
        <w:rPr>
          <w:rFonts w:ascii="Times New Roman" w:hAnsi="Times New Roman" w:cs="Times New Roman"/>
          <w:sz w:val="20"/>
          <w:szCs w:val="20"/>
        </w:rPr>
        <w:t xml:space="preserve">На территории Карталинского муниципального района в 2023году четырьмя ГРБС реализовывались мероприятия в рамках 11 региональных проектов (в 2022году-6). Исполнение за отчетный год составило 186224,7тыс.рублей или 99,9процентов от утвержденных бюджетных назначений (186416,4тыс.рублей). Общий объем неисполненных бюджетных назначений составил 191,7тыс.рублей.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544"/>
        <w:gridCol w:w="1276"/>
        <w:gridCol w:w="1418"/>
        <w:gridCol w:w="1134"/>
      </w:tblGrid>
      <w:tr w:rsidR="00FC1F7C" w:rsidRPr="00FC1F7C" w:rsidTr="00B8562B">
        <w:tc>
          <w:tcPr>
            <w:tcW w:w="801" w:type="dxa"/>
            <w:vMerge w:val="restart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sz w:val="16"/>
                <w:szCs w:val="16"/>
              </w:rPr>
              <w:t>№п/п</w:t>
            </w:r>
          </w:p>
        </w:tc>
        <w:tc>
          <w:tcPr>
            <w:tcW w:w="5544" w:type="dxa"/>
            <w:vMerge w:val="restart"/>
            <w:vAlign w:val="center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Региональный проект</w:t>
            </w:r>
          </w:p>
        </w:tc>
        <w:tc>
          <w:tcPr>
            <w:tcW w:w="1276" w:type="dxa"/>
            <w:vMerge w:val="restart"/>
          </w:tcPr>
          <w:p w:rsidR="00FC1F7C" w:rsidRPr="00FC1F7C" w:rsidRDefault="00FC1F7C" w:rsidP="00FC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назначено</w:t>
            </w:r>
          </w:p>
        </w:tc>
        <w:tc>
          <w:tcPr>
            <w:tcW w:w="2552" w:type="dxa"/>
            <w:gridSpan w:val="2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</w:tr>
      <w:tr w:rsidR="00FC1F7C" w:rsidRPr="00FC1F7C" w:rsidTr="00B8562B">
        <w:tc>
          <w:tcPr>
            <w:tcW w:w="801" w:type="dxa"/>
            <w:vMerge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4" w:type="dxa"/>
            <w:vMerge/>
            <w:vAlign w:val="center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1F7C" w:rsidRPr="00FC1F7C" w:rsidRDefault="00FC1F7C" w:rsidP="00FC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</w:tr>
      <w:tr w:rsidR="00FC1F7C" w:rsidRPr="00FC1F7C" w:rsidTr="00B8562B"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FC1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«Информационная безопасность»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615,1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615,1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C1F7C" w:rsidRPr="00FC1F7C" w:rsidTr="00B8562B"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FC1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«Творческие люди»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268,0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268,0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C1F7C" w:rsidRPr="00FC1F7C" w:rsidTr="00B8562B">
        <w:trPr>
          <w:trHeight w:val="53"/>
        </w:trPr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B856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«Современная школа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2475,8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2475,8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C1F7C" w:rsidRPr="00FC1F7C" w:rsidTr="00B8562B"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FC1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1771,1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1771,1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C1F7C" w:rsidRPr="00FC1F7C" w:rsidTr="00B8562B"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B856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«Чистая страна»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154595,1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154521,5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FC1F7C" w:rsidRPr="00FC1F7C" w:rsidTr="00B8562B"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FC1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«Комплексная система обращения с твердыми коммунальными отходами»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1098,3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1098,3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C1F7C" w:rsidRPr="00FC1F7C" w:rsidTr="00B8562B"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FC1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«Формирование комфортной городской среды»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17286,8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17168,7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FC1F7C" w:rsidRPr="00FC1F7C" w:rsidTr="00B8562B"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FC1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4672,0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4672,0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C1F7C" w:rsidRPr="00FC1F7C" w:rsidTr="00B8562B"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FC1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«Патриотическое воспитание граждан Российской федерации»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2496,4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2496,4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C1F7C" w:rsidRPr="00FC1F7C" w:rsidTr="00B8562B"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FC1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«Социальная активность патриотическое воспитание граждан Российской Федерации»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C1F7C" w:rsidRPr="00FC1F7C" w:rsidTr="00B8562B">
        <w:tc>
          <w:tcPr>
            <w:tcW w:w="801" w:type="dxa"/>
          </w:tcPr>
          <w:p w:rsidR="00FC1F7C" w:rsidRPr="00FC1F7C" w:rsidRDefault="00FC1F7C" w:rsidP="00FC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44" w:type="dxa"/>
            <w:vAlign w:val="center"/>
          </w:tcPr>
          <w:p w:rsidR="00FC1F7C" w:rsidRPr="00FC1F7C" w:rsidRDefault="00FC1F7C" w:rsidP="00FC1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Цифровое государственное управление»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713,8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713,8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C1F7C" w:rsidRPr="00FC1F7C" w:rsidTr="00B8562B">
        <w:tc>
          <w:tcPr>
            <w:tcW w:w="6345" w:type="dxa"/>
            <w:gridSpan w:val="2"/>
          </w:tcPr>
          <w:p w:rsidR="00FC1F7C" w:rsidRPr="00FC1F7C" w:rsidRDefault="00FC1F7C" w:rsidP="00FC1F7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sz w:val="16"/>
                <w:szCs w:val="16"/>
              </w:rPr>
              <w:t>186416,4</w:t>
            </w:r>
          </w:p>
        </w:tc>
        <w:tc>
          <w:tcPr>
            <w:tcW w:w="1418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b/>
                <w:sz w:val="16"/>
                <w:szCs w:val="16"/>
              </w:rPr>
              <w:t>186224,7</w:t>
            </w:r>
          </w:p>
        </w:tc>
        <w:tc>
          <w:tcPr>
            <w:tcW w:w="1134" w:type="dxa"/>
          </w:tcPr>
          <w:p w:rsidR="00FC1F7C" w:rsidRPr="00FC1F7C" w:rsidRDefault="00FC1F7C" w:rsidP="00FC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1F7C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</w:tbl>
    <w:p w:rsidR="00FC1F7C" w:rsidRPr="00FC1F7C" w:rsidRDefault="00FC1F7C" w:rsidP="00FC1F7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562B" w:rsidRPr="00B8562B" w:rsidRDefault="00B8562B" w:rsidP="00B856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62B">
        <w:rPr>
          <w:rFonts w:ascii="Times New Roman" w:hAnsi="Times New Roman" w:cs="Times New Roman"/>
          <w:sz w:val="20"/>
          <w:szCs w:val="20"/>
        </w:rPr>
        <w:t>Исполнение расходов в 2023году осуществлялось по 11 разделам функциональной классификации расходов бюджетов (ф.0503117) представлено в таблице 8.</w:t>
      </w:r>
    </w:p>
    <w:p w:rsidR="00B8562B" w:rsidRPr="00B8562B" w:rsidRDefault="00B8562B" w:rsidP="00B856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5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B8562B">
        <w:rPr>
          <w:rFonts w:ascii="Times New Roman" w:hAnsi="Times New Roman" w:cs="Times New Roman"/>
          <w:sz w:val="16"/>
          <w:szCs w:val="16"/>
        </w:rPr>
        <w:t>Таблица 8</w:t>
      </w:r>
    </w:p>
    <w:p w:rsidR="00B8562B" w:rsidRPr="00B8562B" w:rsidRDefault="00B8562B" w:rsidP="00B856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562B">
        <w:rPr>
          <w:rFonts w:ascii="Times New Roman" w:hAnsi="Times New Roman" w:cs="Times New Roman"/>
          <w:sz w:val="16"/>
          <w:szCs w:val="16"/>
        </w:rPr>
        <w:t xml:space="preserve"> (тыс.рублей)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3559"/>
        <w:gridCol w:w="1418"/>
        <w:gridCol w:w="1402"/>
        <w:gridCol w:w="992"/>
        <w:gridCol w:w="1134"/>
      </w:tblGrid>
      <w:tr w:rsidR="00B8562B" w:rsidRPr="00B8562B" w:rsidTr="00384038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Назначено (по бюджетной росписи)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Процент исполнения гр.4:гр.3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исполнения в общих расходах, %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132 146,1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126 674,4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1 712,5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1 712,5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21 920,5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21 780,4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170 770,2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168 393,0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359 577,4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353 816,1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0700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1 132 123,6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1 112 323,4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Культура 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93 545,1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93 039,1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369 433,6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365 670,2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F21"/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  <w:bookmarkEnd w:id="0"/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57 724,4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56 408,2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1200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3 600,0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B8562B" w:rsidRPr="00B8562B" w:rsidTr="00384038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203 098,0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202 411,2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</w:tr>
      <w:tr w:rsidR="00B8562B" w:rsidRPr="00B8562B" w:rsidTr="00384038">
        <w:trPr>
          <w:trHeight w:val="6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2 545 651,4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2 505 828,5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</w:tbl>
    <w:p w:rsidR="00B8562B" w:rsidRDefault="00B8562B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62B" w:rsidRPr="00B8562B" w:rsidRDefault="00B8562B" w:rsidP="00B856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562B">
        <w:rPr>
          <w:rFonts w:ascii="Times New Roman" w:hAnsi="Times New Roman" w:cs="Times New Roman"/>
          <w:sz w:val="20"/>
          <w:szCs w:val="20"/>
        </w:rPr>
        <w:t>И</w:t>
      </w:r>
      <w:r w:rsidRPr="00B8562B">
        <w:rPr>
          <w:rFonts w:ascii="Times New Roman" w:hAnsi="Times New Roman" w:cs="Times New Roman"/>
          <w:color w:val="000000"/>
          <w:sz w:val="20"/>
          <w:szCs w:val="20"/>
        </w:rPr>
        <w:t>сполнение расходов в 2023 году по ведомственной структуре приведено в таблице 9.</w:t>
      </w:r>
      <w:r w:rsidRPr="00B856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562B" w:rsidRPr="00B8562B" w:rsidRDefault="00B8562B" w:rsidP="00B8562B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8562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Таблица 9</w:t>
      </w:r>
    </w:p>
    <w:p w:rsidR="00B8562B" w:rsidRPr="00B8562B" w:rsidRDefault="00B8562B" w:rsidP="00B8562B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8562B">
        <w:rPr>
          <w:rFonts w:ascii="Times New Roman" w:hAnsi="Times New Roman" w:cs="Times New Roman"/>
          <w:color w:val="000000"/>
          <w:sz w:val="16"/>
          <w:szCs w:val="16"/>
        </w:rPr>
        <w:t xml:space="preserve"> (тыс.рублей)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4865"/>
        <w:gridCol w:w="1276"/>
        <w:gridCol w:w="1275"/>
        <w:gridCol w:w="851"/>
        <w:gridCol w:w="1276"/>
      </w:tblGrid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Назначено</w:t>
            </w:r>
          </w:p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исполнения в общих расходах, %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90 375,0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89 412,7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6 875,0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6 765,5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Собрание депутатов Карталинского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7 093,0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7 090,0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образования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1 109 236,8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1 089 716,7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188 497,3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187 815,8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37 688,0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34 522,3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325 054,8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322 208,6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547 728,6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538 013,3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Финансовое управление Карталинского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233 102,9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230 283,6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2 545 651,4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2 505 828,5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</w:tbl>
    <w:p w:rsidR="00B8562B" w:rsidRPr="00B8562B" w:rsidRDefault="00B8562B" w:rsidP="00B8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8562B" w:rsidRPr="00B8562B" w:rsidRDefault="00650C7D" w:rsidP="00B8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8562B">
        <w:rPr>
          <w:rFonts w:ascii="Times New Roman" w:hAnsi="Times New Roman" w:cs="Times New Roman"/>
          <w:sz w:val="20"/>
          <w:szCs w:val="16"/>
        </w:rPr>
        <w:lastRenderedPageBreak/>
        <w:t xml:space="preserve">        </w:t>
      </w:r>
      <w:r w:rsidR="00B8562B" w:rsidRPr="00B8562B">
        <w:rPr>
          <w:rFonts w:ascii="Times New Roman" w:hAnsi="Times New Roman" w:cs="Times New Roman"/>
          <w:sz w:val="20"/>
          <w:szCs w:val="16"/>
        </w:rPr>
        <w:t xml:space="preserve">        Исполнение расходной части бюджета по классификации операций сектора государственного управления представлено в таблице 10.</w:t>
      </w:r>
      <w:r w:rsidR="00B8562B" w:rsidRPr="00B856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p w:rsidR="00B8562B" w:rsidRPr="00B8562B" w:rsidRDefault="00B8562B" w:rsidP="00B856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562B">
        <w:rPr>
          <w:rFonts w:ascii="Times New Roman" w:hAnsi="Times New Roman" w:cs="Times New Roman"/>
          <w:sz w:val="16"/>
          <w:szCs w:val="16"/>
        </w:rPr>
        <w:t xml:space="preserve"> Таблица 10</w:t>
      </w:r>
    </w:p>
    <w:p w:rsidR="00B8562B" w:rsidRPr="00B8562B" w:rsidRDefault="00B8562B" w:rsidP="00B856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562B">
        <w:rPr>
          <w:rFonts w:ascii="Times New Roman" w:hAnsi="Times New Roman" w:cs="Times New Roman"/>
          <w:sz w:val="16"/>
          <w:szCs w:val="16"/>
        </w:rPr>
        <w:t xml:space="preserve"> (тыс.рублей)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851"/>
        <w:gridCol w:w="992"/>
        <w:gridCol w:w="1276"/>
        <w:gridCol w:w="992"/>
        <w:gridCol w:w="1276"/>
      </w:tblGrid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Назначено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исполнения в общих расходах, %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(резерв)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2 017,3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807 077,3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806 882,3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4 892,3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4 708,5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услуги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37 188,3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36 539,4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99 482,7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91 813,6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397 185,2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391 104,5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101 092,5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97 986,1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126,7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94 405,3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83 550,9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277 280,9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277 122,4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перечисления бюджетам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341 617,0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339 163,3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218 089,1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215 195,7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427,3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427,3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7 142,4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7 101,6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58 211,3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56 212,7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99 387,7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97 869,0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B8562B" w:rsidRPr="00B8562B" w:rsidTr="00B8562B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2 545 651,4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2 505 828,5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2B" w:rsidRPr="00B8562B" w:rsidRDefault="00B8562B" w:rsidP="00B8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</w:tbl>
    <w:p w:rsidR="00B8562B" w:rsidRPr="00B8562B" w:rsidRDefault="00B8562B" w:rsidP="00B8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8562B" w:rsidRPr="00B8562B" w:rsidRDefault="00B8562B" w:rsidP="00B856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562B">
        <w:rPr>
          <w:rFonts w:ascii="Times New Roman" w:hAnsi="Times New Roman" w:cs="Times New Roman"/>
          <w:sz w:val="20"/>
          <w:szCs w:val="20"/>
          <w:u w:val="single"/>
        </w:rPr>
        <w:t xml:space="preserve">Дебиторская и кредиторская задолженности. </w:t>
      </w:r>
    </w:p>
    <w:p w:rsidR="00B8562B" w:rsidRPr="00B8562B" w:rsidRDefault="00B8562B" w:rsidP="00B856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62B">
        <w:rPr>
          <w:rFonts w:ascii="Times New Roman" w:hAnsi="Times New Roman" w:cs="Times New Roman"/>
          <w:sz w:val="20"/>
          <w:szCs w:val="20"/>
        </w:rPr>
        <w:t xml:space="preserve">         По данным исполнения Баланса исполнения бюджета на 01.01.2024 (ф.0503120) и отчета «Сведения по дебиторской и кредиторской задолженности» (ф.0503169):</w:t>
      </w:r>
    </w:p>
    <w:p w:rsidR="00B8562B" w:rsidRPr="00B8562B" w:rsidRDefault="00B8562B" w:rsidP="00B856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62B">
        <w:rPr>
          <w:rFonts w:ascii="Times New Roman" w:hAnsi="Times New Roman" w:cs="Times New Roman"/>
          <w:i/>
          <w:sz w:val="20"/>
          <w:szCs w:val="20"/>
        </w:rPr>
        <w:t xml:space="preserve">         Дебиторская задолженность на 01.01.2024года составила 699223,3тыс.рублей (в том числе просроченная 10080,2тыс.рублей). </w:t>
      </w:r>
      <w:r w:rsidRPr="00B8562B">
        <w:rPr>
          <w:rFonts w:ascii="Times New Roman" w:hAnsi="Times New Roman" w:cs="Times New Roman"/>
          <w:sz w:val="20"/>
          <w:szCs w:val="20"/>
        </w:rPr>
        <w:t>По сравнению с началом отчетного периода</w:t>
      </w:r>
      <w:r w:rsidRPr="00B856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562B">
        <w:rPr>
          <w:rFonts w:ascii="Times New Roman" w:hAnsi="Times New Roman" w:cs="Times New Roman"/>
          <w:sz w:val="20"/>
          <w:szCs w:val="20"/>
        </w:rPr>
        <w:t>(на 01.01.2023- 702851,4тыс.рублей) общий объем дебиторской задолженности снизился на 3628,1тыс.рублей или на 0,5процентов. Просроченная  задолженность сократилась на 2192,1тыс.рублей или  на 17,8процентов.</w:t>
      </w:r>
    </w:p>
    <w:p w:rsidR="00B8562B" w:rsidRPr="00B8562B" w:rsidRDefault="00B8562B" w:rsidP="00B8562B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  <w:r w:rsidRPr="00B8562B">
        <w:rPr>
          <w:rFonts w:ascii="Times New Roman" w:hAnsi="Times New Roman"/>
          <w:sz w:val="20"/>
          <w:szCs w:val="20"/>
        </w:rPr>
        <w:t>Сведения о дебиторской задолженности районного бюджета за 2023год в разрезе счетов бюджетного учета показаны в таблице 11.</w:t>
      </w:r>
    </w:p>
    <w:p w:rsidR="00B8562B" w:rsidRPr="00B8562B" w:rsidRDefault="00B8562B" w:rsidP="00B856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562B">
        <w:rPr>
          <w:rFonts w:ascii="Times New Roman" w:hAnsi="Times New Roman" w:cs="Times New Roman"/>
          <w:sz w:val="16"/>
          <w:szCs w:val="16"/>
        </w:rPr>
        <w:t>Таблица 11</w:t>
      </w:r>
    </w:p>
    <w:p w:rsidR="00B8562B" w:rsidRPr="00B8562B" w:rsidRDefault="00B8562B" w:rsidP="00B856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562B">
        <w:rPr>
          <w:rFonts w:ascii="Times New Roman" w:hAnsi="Times New Roman" w:cs="Times New Roman"/>
          <w:sz w:val="16"/>
          <w:szCs w:val="16"/>
        </w:rPr>
        <w:t xml:space="preserve">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276"/>
        <w:gridCol w:w="1276"/>
      </w:tblGrid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Вид  дебиторской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 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 01.01.2024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доходам (120500000)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693619,4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661930,8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с плательщиками государственных пошлин, сборов (120512000)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операционной аренды  (120521000)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13573,0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платежей при пользовании природными ресурсами (120523000)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307154,5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284970,8</w:t>
            </w:r>
          </w:p>
        </w:tc>
      </w:tr>
      <w:tr w:rsidR="00B8562B" w:rsidRPr="00B8562B" w:rsidTr="00B8562B">
        <w:trPr>
          <w:trHeight w:val="1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дивидендов от объектов инвестирования (120527000)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2729,8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оказания платных услуг (работ)</w:t>
            </w:r>
          </w:p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(120531000)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400,1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доходам от штрафных санкций за нарушение законодательства о закупках </w:t>
            </w: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(120541000)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прочих сумм принудительного изъятия (120545000)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2674,4</w:t>
            </w:r>
          </w:p>
        </w:tc>
      </w:tr>
      <w:tr w:rsidR="00B8562B" w:rsidRPr="00B8562B" w:rsidTr="00B8562B">
        <w:trPr>
          <w:trHeight w:val="4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(120551000)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351590,5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357582,7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выданным авансам (120600000)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4546,6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23388,5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авансам по услугам связи                           (120621000)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102,2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авансам по прочим работам, услугам (120626000)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74,5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авансам по услугам, работам для целей капитальных вложений (120628000)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18465,5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авансам по приобретению основных средств (120631000)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127,0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авансовым безвозмездным перечислениям текущего характера некоммерческим организациям и физическим лицам-производителям товаров, работ и услуг на производство (120646000)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515,5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пособиям по социальной помощи населению в денежной форме</w:t>
            </w: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(120662000)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4103,8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с подотчетными лицами (120800000)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48,9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услуг связи</w:t>
            </w:r>
          </w:p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(120821000)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2,1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прочих работ, услуг</w:t>
            </w:r>
          </w:p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(120826000)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46,8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ущербу и иным доходам (120900000)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13855,1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бюджета от возврата дебиторской задолженности прошлых лет (120936000)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9896,5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доходам от штрафных санкций за нарушение условий контрактов (договоров) </w:t>
            </w: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(120541000)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547,3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прочих сумм принудительного изъятия (120945000)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3402,1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Расчеты по ущербу материальных запасов                                                            (120974000)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9,2</w:t>
            </w:r>
          </w:p>
        </w:tc>
      </w:tr>
      <w:tr w:rsidR="00B8562B" w:rsidRPr="00B8562B" w:rsidTr="00B8562B">
        <w:trPr>
          <w:trHeight w:val="5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702851,4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699223,3</w:t>
            </w:r>
          </w:p>
        </w:tc>
      </w:tr>
    </w:tbl>
    <w:p w:rsidR="00B8562B" w:rsidRDefault="00B8562B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62B" w:rsidRPr="00B8562B" w:rsidRDefault="00B8562B" w:rsidP="00B856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562B">
        <w:rPr>
          <w:rFonts w:ascii="Times New Roman" w:hAnsi="Times New Roman" w:cs="Times New Roman"/>
          <w:sz w:val="20"/>
          <w:szCs w:val="20"/>
        </w:rPr>
        <w:t>На 01.01.2024года:</w:t>
      </w:r>
    </w:p>
    <w:p w:rsidR="00B8562B" w:rsidRPr="00B8562B" w:rsidRDefault="00B8562B" w:rsidP="00B856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8562B">
        <w:rPr>
          <w:rFonts w:ascii="Times New Roman" w:hAnsi="Times New Roman" w:cs="Times New Roman"/>
          <w:sz w:val="20"/>
          <w:szCs w:val="20"/>
        </w:rPr>
        <w:t xml:space="preserve">- дебиторская задолженность по счету 120500000 «Расчеты по доходам» снизилась на 31688,6тыс.рублей или на 4,6процентов и составила  </w:t>
      </w:r>
      <w:r w:rsidRPr="00B8562B">
        <w:rPr>
          <w:rFonts w:ascii="Times New Roman" w:hAnsi="Times New Roman" w:cs="Times New Roman"/>
          <w:sz w:val="20"/>
          <w:szCs w:val="20"/>
          <w:lang w:eastAsia="en-US"/>
        </w:rPr>
        <w:t>661930,8тыс.рублей, в том числе просроченная задолженность 2659,0тыс.рублей;</w:t>
      </w:r>
    </w:p>
    <w:p w:rsidR="00B8562B" w:rsidRPr="00B8562B" w:rsidRDefault="00B8562B" w:rsidP="00B856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562B">
        <w:rPr>
          <w:rFonts w:ascii="Times New Roman" w:hAnsi="Times New Roman" w:cs="Times New Roman"/>
          <w:sz w:val="20"/>
          <w:szCs w:val="20"/>
        </w:rPr>
        <w:t xml:space="preserve"> - дебиторская задолженность по счету 120600000 «Расчеты по выданным авансам» по сравнению с началом года возросла   на 18841,9 тыс.рублей или в 5раз и составила - </w:t>
      </w:r>
      <w:r w:rsidRPr="00B8562B">
        <w:rPr>
          <w:rFonts w:ascii="Times New Roman" w:hAnsi="Times New Roman" w:cs="Times New Roman"/>
          <w:sz w:val="20"/>
          <w:szCs w:val="20"/>
          <w:lang w:eastAsia="en-US"/>
        </w:rPr>
        <w:t>23388,5тыс.рублей;</w:t>
      </w:r>
    </w:p>
    <w:p w:rsidR="00B8562B" w:rsidRPr="00B8562B" w:rsidRDefault="00B8562B" w:rsidP="00B856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562B">
        <w:rPr>
          <w:rFonts w:ascii="Times New Roman" w:hAnsi="Times New Roman" w:cs="Times New Roman"/>
          <w:sz w:val="20"/>
          <w:szCs w:val="20"/>
        </w:rPr>
        <w:lastRenderedPageBreak/>
        <w:t xml:space="preserve"> -дебиторская задолженность по счету </w:t>
      </w:r>
      <w:r w:rsidRPr="00B8562B">
        <w:rPr>
          <w:rFonts w:ascii="Times New Roman" w:hAnsi="Times New Roman" w:cs="Times New Roman"/>
          <w:sz w:val="20"/>
          <w:szCs w:val="20"/>
          <w:lang w:eastAsia="en-US"/>
        </w:rPr>
        <w:t>120800000 «Р</w:t>
      </w:r>
      <w:r w:rsidRPr="00B8562B">
        <w:rPr>
          <w:rFonts w:ascii="Times New Roman" w:hAnsi="Times New Roman" w:cs="Times New Roman"/>
          <w:sz w:val="20"/>
          <w:szCs w:val="20"/>
        </w:rPr>
        <w:t xml:space="preserve">асчеты с подотчетными лицами» снизилась в 5,7 раза и составила </w:t>
      </w:r>
      <w:r w:rsidRPr="00B8562B">
        <w:rPr>
          <w:rFonts w:ascii="Times New Roman" w:hAnsi="Times New Roman" w:cs="Times New Roman"/>
          <w:sz w:val="20"/>
          <w:szCs w:val="20"/>
          <w:lang w:eastAsia="en-US"/>
        </w:rPr>
        <w:t>48,9</w:t>
      </w:r>
      <w:r w:rsidRPr="00B8562B">
        <w:rPr>
          <w:rFonts w:ascii="Times New Roman" w:hAnsi="Times New Roman" w:cs="Times New Roman"/>
          <w:sz w:val="20"/>
          <w:szCs w:val="20"/>
        </w:rPr>
        <w:t>тыс. рублей;</w:t>
      </w:r>
    </w:p>
    <w:p w:rsidR="00B8562B" w:rsidRPr="00B8562B" w:rsidRDefault="00B8562B" w:rsidP="00B856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562B">
        <w:rPr>
          <w:rFonts w:ascii="Times New Roman" w:hAnsi="Times New Roman" w:cs="Times New Roman"/>
          <w:sz w:val="20"/>
          <w:szCs w:val="20"/>
        </w:rPr>
        <w:t xml:space="preserve"> - дебиторская задолженность по счету </w:t>
      </w:r>
      <w:r w:rsidRPr="00B8562B">
        <w:rPr>
          <w:rFonts w:ascii="Times New Roman" w:hAnsi="Times New Roman" w:cs="Times New Roman"/>
          <w:sz w:val="20"/>
          <w:szCs w:val="20"/>
          <w:lang w:eastAsia="en-US"/>
        </w:rPr>
        <w:t>120900000</w:t>
      </w:r>
      <w:r w:rsidRPr="00B8562B">
        <w:rPr>
          <w:rFonts w:ascii="Times New Roman" w:hAnsi="Times New Roman" w:cs="Times New Roman"/>
          <w:sz w:val="20"/>
          <w:szCs w:val="20"/>
        </w:rPr>
        <w:t xml:space="preserve"> «Расчеты по ущербу и иным доходам» увеличилась на 9451,0тыс.рублей или в 3раза и составила </w:t>
      </w:r>
      <w:r w:rsidRPr="00B8562B">
        <w:rPr>
          <w:rFonts w:ascii="Times New Roman" w:hAnsi="Times New Roman" w:cs="Times New Roman"/>
          <w:sz w:val="20"/>
          <w:szCs w:val="20"/>
          <w:lang w:eastAsia="en-US"/>
        </w:rPr>
        <w:t>13855,1</w:t>
      </w:r>
      <w:r w:rsidRPr="00B8562B">
        <w:rPr>
          <w:rFonts w:ascii="Times New Roman" w:hAnsi="Times New Roman" w:cs="Times New Roman"/>
          <w:sz w:val="20"/>
          <w:szCs w:val="20"/>
        </w:rPr>
        <w:t>тыс.рублей.</w:t>
      </w:r>
    </w:p>
    <w:p w:rsidR="00B8562B" w:rsidRPr="00B8562B" w:rsidRDefault="00B8562B" w:rsidP="00B8562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562B">
        <w:rPr>
          <w:rFonts w:ascii="Times New Roman" w:hAnsi="Times New Roman" w:cs="Times New Roman"/>
          <w:i/>
          <w:sz w:val="20"/>
          <w:szCs w:val="20"/>
        </w:rPr>
        <w:t xml:space="preserve">        Кредиторская задолженность  на 01.01.2024 составила 3471,4тыс.рублей (на 01.01.2023года -</w:t>
      </w:r>
      <w:r w:rsidRPr="00B8562B">
        <w:rPr>
          <w:rFonts w:ascii="Times New Roman" w:hAnsi="Times New Roman" w:cs="Times New Roman"/>
          <w:i/>
          <w:sz w:val="20"/>
          <w:szCs w:val="20"/>
          <w:lang w:eastAsia="en-US"/>
        </w:rPr>
        <w:t>6418,3</w:t>
      </w:r>
      <w:r w:rsidRPr="00B8562B">
        <w:rPr>
          <w:rFonts w:ascii="Times New Roman" w:hAnsi="Times New Roman" w:cs="Times New Roman"/>
          <w:i/>
          <w:sz w:val="20"/>
          <w:szCs w:val="20"/>
        </w:rPr>
        <w:t>тыс.рублей)</w:t>
      </w:r>
      <w:r w:rsidRPr="00B8562B">
        <w:rPr>
          <w:rFonts w:ascii="Times New Roman" w:hAnsi="Times New Roman" w:cs="Times New Roman"/>
          <w:sz w:val="20"/>
          <w:szCs w:val="20"/>
        </w:rPr>
        <w:t>. По сравнению с началом отчетного периода общий объем кредиторской задолженности снизился на 2946,9тыс.рублей или на 45,9процентов.</w:t>
      </w:r>
    </w:p>
    <w:p w:rsidR="00B8562B" w:rsidRPr="00B8562B" w:rsidRDefault="00B8562B" w:rsidP="00B8562B">
      <w:pPr>
        <w:pStyle w:val="af1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B8562B">
        <w:rPr>
          <w:rFonts w:ascii="Times New Roman" w:hAnsi="Times New Roman"/>
          <w:sz w:val="20"/>
          <w:szCs w:val="20"/>
        </w:rPr>
        <w:t>Сведения о кредиторской задолженности районного бюджета за 2023год в разрезе счетов бюджетного учета показаны в таблице 12.</w:t>
      </w:r>
    </w:p>
    <w:p w:rsidR="00B8562B" w:rsidRPr="00B8562B" w:rsidRDefault="00B8562B" w:rsidP="00B8562B">
      <w:pPr>
        <w:spacing w:after="0" w:line="240" w:lineRule="auto"/>
        <w:ind w:left="360" w:firstLine="426"/>
        <w:jc w:val="right"/>
        <w:rPr>
          <w:rFonts w:ascii="Times New Roman" w:hAnsi="Times New Roman" w:cs="Times New Roman"/>
          <w:sz w:val="16"/>
          <w:szCs w:val="16"/>
        </w:rPr>
      </w:pPr>
      <w:r w:rsidRPr="00B8562B">
        <w:rPr>
          <w:rFonts w:ascii="Times New Roman" w:hAnsi="Times New Roman" w:cs="Times New Roman"/>
          <w:sz w:val="16"/>
          <w:szCs w:val="16"/>
        </w:rPr>
        <w:t>Таблица 12</w:t>
      </w:r>
    </w:p>
    <w:p w:rsidR="00B8562B" w:rsidRPr="00B8562B" w:rsidRDefault="00B8562B" w:rsidP="00B8562B">
      <w:pPr>
        <w:spacing w:after="0" w:line="240" w:lineRule="auto"/>
        <w:ind w:left="360" w:firstLine="426"/>
        <w:jc w:val="right"/>
        <w:rPr>
          <w:rFonts w:ascii="Times New Roman" w:hAnsi="Times New Roman" w:cs="Times New Roman"/>
          <w:sz w:val="16"/>
          <w:szCs w:val="16"/>
        </w:rPr>
      </w:pPr>
      <w:r w:rsidRPr="00B8562B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134"/>
        <w:gridCol w:w="1276"/>
      </w:tblGrid>
      <w:tr w:rsidR="00B8562B" w:rsidRPr="00B8562B" w:rsidTr="00027D7E">
        <w:trPr>
          <w:trHeight w:val="44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Вид 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 01.01.2023г.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 01.01.2024г.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Расчеты по доходам (120500000), в том числе: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710,4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с плательщиками налогов (120511000)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13,4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с плательщиками государственных пошлин, сборов (120512000)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1,1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доходам от операционной аренды </w:t>
            </w: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(120521000)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 от платежей при пользовании природными ресурсами (120523000)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прочим доходам от сумм принудительного изъятия (120545000)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693,5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562B">
              <w:rPr>
                <w:rFonts w:ascii="Times New Roman" w:hAnsi="Times New Roman" w:cs="Times New Roman"/>
                <w:bCs/>
                <w:sz w:val="16"/>
                <w:szCs w:val="16"/>
              </w:rPr>
              <w:t>Расчеты по невыясненным поступлениям</w:t>
            </w:r>
          </w:p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(120581000)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2,4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ущербу и иным доходам(120900000)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прочих сумм принудительного изъятия (120945000)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принятым обязательствам (130200000)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2705,9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1074,3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услугам связи</w:t>
            </w: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(</w:t>
            </w: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130221000)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15,7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коммунальным услугам</w:t>
            </w: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(130223000)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623,9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работам, услугам по содержанию имущества (130225000)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205,3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прочим работам, услугам (130226000)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229,4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услугам, работам для целей капитальных вложений (130228000)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приобретению материальных запасов (130234000)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платежам в бюджеты (130300000),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1820,1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1686,7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 (130302000)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прочим платежам в бюджет    (130305000)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1686,7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   (130306000)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Расчеты по страховым взносам на обязательное медицинское страхование в Федеральный ФОМС   (130307000)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027D7E">
        <w:trPr>
          <w:trHeight w:val="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Расчеты по страховым взносам на обязательное пенсионное страхование на выплату страховой части трудовой пенсии    (130310000)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562B" w:rsidRPr="00B8562B" w:rsidTr="00027D7E">
        <w:trPr>
          <w:trHeight w:val="2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B" w:rsidRPr="00B8562B" w:rsidRDefault="00B8562B" w:rsidP="00027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6418,3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B" w:rsidRPr="00B8562B" w:rsidRDefault="00B8562B" w:rsidP="00B8562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62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3471,4</w:t>
            </w:r>
          </w:p>
        </w:tc>
      </w:tr>
    </w:tbl>
    <w:p w:rsidR="00027D7E" w:rsidRPr="00027D7E" w:rsidRDefault="00027D7E" w:rsidP="00027D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На 01.01.2024года:</w:t>
      </w:r>
    </w:p>
    <w:p w:rsidR="00027D7E" w:rsidRPr="00027D7E" w:rsidRDefault="00027D7E" w:rsidP="00027D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 xml:space="preserve">- кредиторская задолженность по счету </w:t>
      </w:r>
      <w:r w:rsidRPr="00027D7E">
        <w:rPr>
          <w:rFonts w:ascii="Times New Roman" w:hAnsi="Times New Roman" w:cs="Times New Roman"/>
          <w:sz w:val="20"/>
          <w:szCs w:val="20"/>
          <w:lang w:eastAsia="en-US"/>
        </w:rPr>
        <w:t>120500000</w:t>
      </w:r>
      <w:r w:rsidRPr="00027D7E">
        <w:rPr>
          <w:rFonts w:ascii="Times New Roman" w:hAnsi="Times New Roman" w:cs="Times New Roman"/>
          <w:sz w:val="20"/>
          <w:szCs w:val="20"/>
        </w:rPr>
        <w:t xml:space="preserve"> «Расчеты по доходам» уменьшилась на 978,5тыс.рублей; </w:t>
      </w:r>
    </w:p>
    <w:p w:rsidR="00027D7E" w:rsidRPr="00027D7E" w:rsidRDefault="00027D7E" w:rsidP="00027D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 xml:space="preserve">- кредиторская задолженность по счету </w:t>
      </w:r>
      <w:r w:rsidRPr="00027D7E">
        <w:rPr>
          <w:rFonts w:ascii="Times New Roman" w:hAnsi="Times New Roman" w:cs="Times New Roman"/>
          <w:sz w:val="20"/>
          <w:szCs w:val="20"/>
          <w:lang w:eastAsia="en-US"/>
        </w:rPr>
        <w:t>120900000</w:t>
      </w:r>
      <w:r w:rsidRPr="00027D7E">
        <w:rPr>
          <w:rFonts w:ascii="Times New Roman" w:hAnsi="Times New Roman" w:cs="Times New Roman"/>
          <w:sz w:val="20"/>
          <w:szCs w:val="20"/>
        </w:rPr>
        <w:t xml:space="preserve"> «Расчеты по ущербу и иным доходам» отсутствует;</w:t>
      </w:r>
    </w:p>
    <w:p w:rsidR="00027D7E" w:rsidRPr="00027D7E" w:rsidRDefault="00027D7E" w:rsidP="00027D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 xml:space="preserve">- кредиторская задолженность по счету </w:t>
      </w:r>
      <w:r w:rsidRPr="00027D7E">
        <w:rPr>
          <w:rFonts w:ascii="Times New Roman" w:hAnsi="Times New Roman" w:cs="Times New Roman"/>
          <w:sz w:val="20"/>
          <w:szCs w:val="20"/>
          <w:lang w:eastAsia="en-US"/>
        </w:rPr>
        <w:t>130200000</w:t>
      </w:r>
      <w:r w:rsidRPr="00027D7E">
        <w:rPr>
          <w:rFonts w:ascii="Times New Roman" w:hAnsi="Times New Roman" w:cs="Times New Roman"/>
          <w:sz w:val="20"/>
          <w:szCs w:val="20"/>
        </w:rPr>
        <w:t xml:space="preserve"> «Расчеты по принятым обязательствам» снизилась на 1631,6тыс.рублей, в том числе снизилась задолженность за коммунальные услуги на 581,9тыс.рублей (на 48,2%);</w:t>
      </w:r>
    </w:p>
    <w:p w:rsidR="00027D7E" w:rsidRPr="00027D7E" w:rsidRDefault="00027D7E" w:rsidP="00027D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 xml:space="preserve">- кредиторская задолженность по счету </w:t>
      </w:r>
      <w:r w:rsidRPr="00027D7E">
        <w:rPr>
          <w:rFonts w:ascii="Times New Roman" w:hAnsi="Times New Roman" w:cs="Times New Roman"/>
          <w:sz w:val="20"/>
          <w:szCs w:val="20"/>
          <w:lang w:eastAsia="en-US"/>
        </w:rPr>
        <w:t xml:space="preserve">130300000 </w:t>
      </w:r>
      <w:r w:rsidRPr="00027D7E">
        <w:rPr>
          <w:rFonts w:ascii="Times New Roman" w:hAnsi="Times New Roman" w:cs="Times New Roman"/>
          <w:sz w:val="20"/>
          <w:szCs w:val="20"/>
        </w:rPr>
        <w:t>«Расчеты</w:t>
      </w:r>
      <w:r w:rsidRPr="00027D7E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027D7E">
        <w:rPr>
          <w:rFonts w:ascii="Times New Roman" w:hAnsi="Times New Roman" w:cs="Times New Roman"/>
          <w:sz w:val="20"/>
          <w:szCs w:val="20"/>
          <w:lang w:eastAsia="en-US"/>
        </w:rPr>
        <w:t xml:space="preserve">по прочим платежам в бюджет» </w:t>
      </w:r>
      <w:r w:rsidRPr="00027D7E">
        <w:rPr>
          <w:rFonts w:ascii="Times New Roman" w:hAnsi="Times New Roman" w:cs="Times New Roman"/>
          <w:sz w:val="20"/>
          <w:szCs w:val="20"/>
        </w:rPr>
        <w:t>снизилась на 133,4тыс.рублей или на 7,3процентов,  в том числе снижения задолженности</w:t>
      </w:r>
      <w:r w:rsidRPr="00027D7E">
        <w:rPr>
          <w:rFonts w:ascii="Times New Roman" w:hAnsi="Times New Roman" w:cs="Times New Roman"/>
          <w:sz w:val="20"/>
          <w:szCs w:val="20"/>
          <w:lang w:eastAsia="en-US"/>
        </w:rPr>
        <w:t xml:space="preserve"> по страховым взносам на обязательное пенсионное страхование на выплату страховой части трудовой пенсии -1113,0тыс.рублей и увеличения </w:t>
      </w:r>
      <w:r w:rsidRPr="00027D7E">
        <w:rPr>
          <w:rFonts w:ascii="Times New Roman" w:hAnsi="Times New Roman" w:cs="Times New Roman"/>
          <w:sz w:val="20"/>
          <w:szCs w:val="20"/>
        </w:rPr>
        <w:t>задолженности по прочим платежам в бюджет на 1289,5тыс.рублей.</w:t>
      </w:r>
    </w:p>
    <w:p w:rsidR="00027D7E" w:rsidRPr="00027D7E" w:rsidRDefault="00027D7E" w:rsidP="00027D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27D7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27D7E">
        <w:rPr>
          <w:rFonts w:ascii="Times New Roman" w:hAnsi="Times New Roman" w:cs="Times New Roman"/>
          <w:i/>
          <w:sz w:val="20"/>
          <w:szCs w:val="20"/>
          <w:u w:val="single"/>
        </w:rPr>
        <w:t>Резервный фонд администрации Карталинского муниципального района</w:t>
      </w:r>
    </w:p>
    <w:p w:rsidR="00027D7E" w:rsidRPr="00027D7E" w:rsidRDefault="00027D7E" w:rsidP="00027D7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Решением Собрания депутатов КМР 22.12.2022 № 399 резервный фонд администрации Карталинского муниципального района утвержден в размере 2500,0тыс.рублей. В соответствии с Решениями Собрания депутатов КМР от 26.01.2023 №417, от 30.03.2023 №441 размер резервного фонда увеличен на 2000,0тыс.рублей. Согласно распоряжениям администрации Карталинского муниципального района от 16.01.2023 №02-р, от 18.01.2023 №14-р, от 25.01.2023 №32-р, от 22.02.2023 №90-р,  от 15.03.2023 №155-р, от 27.09.2023 №697-р, от 16.11.2023 №820-р, от 22.11.2023 №849-р, от 12.12.2023 №896-р, от 30.01.2023 №42-р, от 03.04.2023 №196-р, от 29.09.2023 №708-р, от 16.10.2023 №759-р главным распорядителям бюджетных средств из утвержденного резервного фонда (4500,0тыс.рублей) выделено 3405,0тыс.рублей, израсходовано -3241,2тыс.рублей, в том числе:</w:t>
      </w:r>
    </w:p>
    <w:p w:rsidR="00027D7E" w:rsidRPr="00027D7E" w:rsidRDefault="00027D7E" w:rsidP="00027D7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- на оплату услуг по организации похорон военнослужащих, лиц, проходивших службу в войсках Национальной гвардии РФ и имевших специальное звание полиции, погибших в результате участия в специальной военной операции на территории ДНР, ЛНР и Украины;</w:t>
      </w:r>
    </w:p>
    <w:p w:rsidR="00027D7E" w:rsidRPr="00027D7E" w:rsidRDefault="00027D7E" w:rsidP="00027D7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- на оказание единовременной материальной помощи членам семей, а именно родителям, супругам и детям военнослужащих, лиц, проходивших службу в войсках Национальной гвардии РФ и имевших специальное звание полиции, погибших в результате участия в специальной военной операции на территории ДНР, ЛНР и Украины;</w:t>
      </w:r>
    </w:p>
    <w:p w:rsidR="00027D7E" w:rsidRPr="00027D7E" w:rsidRDefault="00027D7E" w:rsidP="00027D7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- на выполнение работ по предупреждению возникновения чрезвычайных ситуаций;</w:t>
      </w:r>
    </w:p>
    <w:p w:rsidR="00027D7E" w:rsidRPr="00027D7E" w:rsidRDefault="00027D7E" w:rsidP="00027D7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- на представительские расходы;</w:t>
      </w:r>
    </w:p>
    <w:p w:rsidR="00027D7E" w:rsidRPr="00027D7E" w:rsidRDefault="00027D7E" w:rsidP="00027D7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- на подготовку систем теплоснабжения к пуску отопления части многоквартирных домов города Карталы;</w:t>
      </w:r>
    </w:p>
    <w:p w:rsidR="00027D7E" w:rsidRPr="00027D7E" w:rsidRDefault="00027D7E" w:rsidP="00027D7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- на обеспечение мероприятий, связанных с проведением Специальной военной операции (оплата запасных частей для автомобиля НИВА, переданных в зону проведения специальной военной операции на территории Украины.</w:t>
      </w:r>
    </w:p>
    <w:p w:rsidR="00027D7E" w:rsidRPr="00027D7E" w:rsidRDefault="00027D7E" w:rsidP="00027D7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Из выделенных средств неиспользованный остаток средств резервного фонда на 01.01.2024 года составил 163,8 тыс. рублей.</w:t>
      </w:r>
    </w:p>
    <w:p w:rsidR="00027D7E" w:rsidRPr="00027D7E" w:rsidRDefault="00027D7E" w:rsidP="00027D7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Нераспределенные средства резервного фонда составили на 01.01.2024года- 1095,0тыс.рублей.</w:t>
      </w:r>
    </w:p>
    <w:p w:rsidR="00027D7E" w:rsidRDefault="00027D7E" w:rsidP="00E77B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F55C8" w:rsidRPr="00E77BD5" w:rsidRDefault="005F55C8" w:rsidP="00E77B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lastRenderedPageBreak/>
        <w:t>Мотивированное обоснование принятия решения:</w:t>
      </w:r>
    </w:p>
    <w:p w:rsidR="00027D7E" w:rsidRPr="00027D7E" w:rsidRDefault="00027D7E" w:rsidP="00027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  <w:lang w:eastAsia="ar-SA"/>
        </w:rPr>
        <w:t xml:space="preserve"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(ГАБС) и подготовку заключения на годовой отчет об исполнении бюджета. </w:t>
      </w:r>
      <w:r w:rsidRPr="00027D7E">
        <w:rPr>
          <w:rFonts w:ascii="Times New Roman" w:hAnsi="Times New Roman" w:cs="Times New Roman"/>
          <w:sz w:val="20"/>
          <w:szCs w:val="20"/>
        </w:rPr>
        <w:t>Руководствуясь статьей 264.4 Бюджетного кодекса РФ, статьей 8 Положения о Контрольно-счетной палате Карталинского муниципального района, статьей 46 Положения «О бюджетном процессе в Карталинском муниципальном районе», пунктом 11.1 Приказа №191н Контрольно-счетной палатой проведена внешняя проверка бюджетной отчетности 9 Главных администраторов бюджетных средств района за 2023год. По всем ГРБС исполнение за 2023год более 90,0процентов.</w:t>
      </w:r>
    </w:p>
    <w:p w:rsidR="00027D7E" w:rsidRPr="00027D7E" w:rsidRDefault="00027D7E" w:rsidP="00027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Бюджетная отчетность ГАБС за 2023год представлена для проверки в полном объеме и в установленные сроки (</w:t>
      </w:r>
      <w:r w:rsidRPr="00027D7E">
        <w:rPr>
          <w:rFonts w:ascii="Times New Roman" w:hAnsi="Times New Roman" w:cs="Times New Roman"/>
          <w:color w:val="000000"/>
          <w:sz w:val="20"/>
          <w:szCs w:val="20"/>
        </w:rPr>
        <w:t>не позднее 10 марта текущего финансового года</w:t>
      </w:r>
      <w:r w:rsidRPr="00027D7E">
        <w:rPr>
          <w:rFonts w:ascii="Times New Roman" w:hAnsi="Times New Roman" w:cs="Times New Roman"/>
          <w:sz w:val="20"/>
          <w:szCs w:val="20"/>
        </w:rPr>
        <w:t>), что соответствует требованиям статьи 264.1 Бюджетного кодекса РФ, статьи 46 Положения «О бюджетном процессе в Карталинском муниципальном районе».</w:t>
      </w:r>
    </w:p>
    <w:p w:rsidR="00027D7E" w:rsidRPr="00027D7E" w:rsidRDefault="00027D7E" w:rsidP="00027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По результатам проверки установлено:</w:t>
      </w:r>
    </w:p>
    <w:p w:rsidR="00027D7E" w:rsidRPr="00027D7E" w:rsidRDefault="00027D7E" w:rsidP="00027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 xml:space="preserve">- неэффективно использованы бюджетные средства  по 5 ГАБС в размере 2260,6тыс.рублей (на 01.01.2023 -327,6тыс.рублей) на уплату задолженности, государственной пошлины и процентов за пользование чужими денежными средствами; уплату штрафных санкций за нарушение законодательства о закупках и нарушение условий контрактов юридическим лицам; возмещение судебных расходов и издержек по исполнительным листам; на уплату физическому лицу выкупной цены изымаемого жилого помещения для муниципальных нужд, по решению судебных органов (Управление образования КМР, Управление по имущественной и земельной политике КМР, Управление строительства, инфраструктуры и ЖКХ КМР, Администрация КМР, Управление по делам культуры и спорта КМР); </w:t>
      </w:r>
    </w:p>
    <w:p w:rsidR="00027D7E" w:rsidRPr="00027D7E" w:rsidRDefault="00027D7E" w:rsidP="00027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- допускались нарушения порядка применения бюджетной классификации расходов на сумму 127,4тыс.рублей;</w:t>
      </w:r>
    </w:p>
    <w:p w:rsidR="00027D7E" w:rsidRPr="00027D7E" w:rsidRDefault="00027D7E" w:rsidP="00027D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7D7E">
        <w:rPr>
          <w:rFonts w:ascii="Times New Roman" w:hAnsi="Times New Roman" w:cs="Times New Roman"/>
          <w:color w:val="000000"/>
          <w:sz w:val="20"/>
          <w:szCs w:val="20"/>
        </w:rPr>
        <w:t>- кредиторская задолженность по 1 ГАБС не подтверждена актами сверок, что указывает на формальное проведение инвентаризации расчетов (</w:t>
      </w:r>
      <w:r w:rsidRPr="00027D7E">
        <w:rPr>
          <w:rFonts w:ascii="Times New Roman" w:hAnsi="Times New Roman" w:cs="Times New Roman"/>
          <w:sz w:val="20"/>
          <w:szCs w:val="20"/>
        </w:rPr>
        <w:t>Управление строительства, инфраструктуры и ЖКХ КМР)</w:t>
      </w:r>
      <w:r w:rsidRPr="00027D7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27D7E" w:rsidRPr="00027D7E" w:rsidRDefault="00027D7E" w:rsidP="00027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- просроченная дебиторская задолженность по доходам от арендной платы за земельные участки, по доходам от сдачи в аренду имущества муниципального района, задолженность муниципальных унитарных предприятий по перечислению части прибыли,</w:t>
      </w:r>
      <w:r w:rsidRPr="00027D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7D7E">
        <w:rPr>
          <w:rFonts w:ascii="Times New Roman" w:hAnsi="Times New Roman" w:cs="Times New Roman"/>
          <w:sz w:val="20"/>
          <w:szCs w:val="20"/>
        </w:rPr>
        <w:t>по доходам от оказания платных услуг и компенсации затрат государства составила 10080,2тыс.рублей, из них 99,8% приходится на 1 ГАБС  (Управление по имущественной и земельной политике КМР).</w:t>
      </w:r>
    </w:p>
    <w:p w:rsidR="00E77BD5" w:rsidRPr="00E77BD5" w:rsidRDefault="00E77BD5" w:rsidP="00027D7E">
      <w:pPr>
        <w:pStyle w:val="af1"/>
        <w:ind w:firstLine="426"/>
        <w:jc w:val="both"/>
        <w:rPr>
          <w:rFonts w:ascii="Times New Roman" w:hAnsi="Times New Roman"/>
          <w:sz w:val="20"/>
          <w:szCs w:val="20"/>
        </w:rPr>
      </w:pPr>
      <w:r w:rsidRPr="00E77BD5">
        <w:rPr>
          <w:rFonts w:ascii="Times New Roman" w:hAnsi="Times New Roman"/>
          <w:sz w:val="20"/>
          <w:szCs w:val="20"/>
        </w:rPr>
        <w:t>Отчет об исполнении бюджета за 202</w:t>
      </w:r>
      <w:r w:rsidR="00027D7E">
        <w:rPr>
          <w:rFonts w:ascii="Times New Roman" w:hAnsi="Times New Roman"/>
          <w:sz w:val="20"/>
          <w:szCs w:val="20"/>
        </w:rPr>
        <w:t>3</w:t>
      </w:r>
      <w:r w:rsidRPr="00E77BD5">
        <w:rPr>
          <w:rFonts w:ascii="Times New Roman" w:hAnsi="Times New Roman"/>
          <w:sz w:val="20"/>
          <w:szCs w:val="20"/>
        </w:rPr>
        <w:t xml:space="preserve"> год представлен администрацией КМР в Контрольно-счетную палату с соблюдением срока, установленного Бюджетным кодексом РФ и Положением о бюджетном процессе. </w:t>
      </w:r>
    </w:p>
    <w:p w:rsidR="00027D7E" w:rsidRPr="00027D7E" w:rsidRDefault="00027D7E" w:rsidP="00027D7E">
      <w:pPr>
        <w:pStyle w:val="af1"/>
        <w:ind w:firstLine="426"/>
        <w:jc w:val="both"/>
        <w:rPr>
          <w:rFonts w:ascii="Times New Roman" w:hAnsi="Times New Roman"/>
          <w:sz w:val="20"/>
          <w:szCs w:val="20"/>
        </w:rPr>
      </w:pPr>
      <w:r w:rsidRPr="00027D7E">
        <w:rPr>
          <w:rFonts w:ascii="Times New Roman" w:hAnsi="Times New Roman"/>
          <w:sz w:val="20"/>
          <w:szCs w:val="20"/>
        </w:rPr>
        <w:t xml:space="preserve">Отчет об исполнении бюджета за 2023 год представлен администрацией КМР в Контрольно-счетную палату с соблюдением срока, установленного Бюджетным кодексом РФ и Положением о бюджетном процессе. </w:t>
      </w:r>
    </w:p>
    <w:p w:rsidR="00027D7E" w:rsidRPr="00027D7E" w:rsidRDefault="00027D7E" w:rsidP="00027D7E">
      <w:pPr>
        <w:pStyle w:val="af1"/>
        <w:ind w:firstLine="426"/>
        <w:jc w:val="both"/>
        <w:rPr>
          <w:rFonts w:ascii="Times New Roman" w:hAnsi="Times New Roman"/>
          <w:sz w:val="20"/>
          <w:szCs w:val="20"/>
        </w:rPr>
      </w:pPr>
      <w:r w:rsidRPr="00027D7E">
        <w:rPr>
          <w:rFonts w:ascii="Times New Roman" w:hAnsi="Times New Roman"/>
          <w:sz w:val="20"/>
          <w:szCs w:val="20"/>
        </w:rPr>
        <w:t xml:space="preserve">Представленный к внешней проверке Годовой отчет об исполнении районного бюджета за 2023год сформирован Финансовым управлением с учетом требований нормативных правовых актов, регламентирующих порядок составления и представления отчетности об исполнении бюджетов бюджетной системы Российской Федерации. </w:t>
      </w:r>
    </w:p>
    <w:p w:rsidR="00027D7E" w:rsidRPr="00027D7E" w:rsidRDefault="00027D7E" w:rsidP="00027D7E">
      <w:pPr>
        <w:pStyle w:val="af1"/>
        <w:ind w:firstLine="426"/>
        <w:jc w:val="both"/>
        <w:rPr>
          <w:rFonts w:ascii="Times New Roman" w:hAnsi="Times New Roman"/>
          <w:sz w:val="20"/>
          <w:szCs w:val="20"/>
        </w:rPr>
      </w:pPr>
      <w:r w:rsidRPr="00027D7E">
        <w:rPr>
          <w:rFonts w:ascii="Times New Roman" w:hAnsi="Times New Roman"/>
          <w:sz w:val="20"/>
          <w:szCs w:val="20"/>
        </w:rPr>
        <w:t>Согласно отчету об исполнении бюджета района за 2023 год основные показатели бюджета района исполнены:</w:t>
      </w:r>
    </w:p>
    <w:p w:rsidR="00027D7E" w:rsidRPr="00027D7E" w:rsidRDefault="00027D7E" w:rsidP="00027D7E">
      <w:pPr>
        <w:pStyle w:val="af1"/>
        <w:ind w:firstLine="426"/>
        <w:jc w:val="both"/>
        <w:rPr>
          <w:rFonts w:ascii="Times New Roman" w:hAnsi="Times New Roman"/>
          <w:sz w:val="20"/>
          <w:szCs w:val="20"/>
        </w:rPr>
      </w:pPr>
      <w:r w:rsidRPr="00027D7E">
        <w:rPr>
          <w:rFonts w:ascii="Times New Roman" w:hAnsi="Times New Roman"/>
          <w:sz w:val="20"/>
          <w:szCs w:val="20"/>
        </w:rPr>
        <w:t xml:space="preserve"> - по доходам в сумме 2484060,1 тыс. рублей или 99,0процентов к плановым показателям;</w:t>
      </w:r>
    </w:p>
    <w:p w:rsidR="00027D7E" w:rsidRPr="00027D7E" w:rsidRDefault="00027D7E" w:rsidP="00027D7E">
      <w:pPr>
        <w:pStyle w:val="af1"/>
        <w:ind w:firstLine="426"/>
        <w:jc w:val="both"/>
        <w:rPr>
          <w:rFonts w:ascii="Times New Roman" w:hAnsi="Times New Roman"/>
          <w:sz w:val="20"/>
          <w:szCs w:val="20"/>
        </w:rPr>
      </w:pPr>
      <w:r w:rsidRPr="00027D7E">
        <w:rPr>
          <w:rFonts w:ascii="Times New Roman" w:hAnsi="Times New Roman"/>
          <w:sz w:val="20"/>
          <w:szCs w:val="20"/>
        </w:rPr>
        <w:t xml:space="preserve"> - по расходам в сумме 2505828,5тыс. рублей или 98,4процентов к утверждённым бюджетным назначениям;</w:t>
      </w:r>
    </w:p>
    <w:p w:rsidR="00027D7E" w:rsidRPr="00027D7E" w:rsidRDefault="00027D7E" w:rsidP="00027D7E">
      <w:pPr>
        <w:pStyle w:val="af1"/>
        <w:ind w:firstLine="426"/>
        <w:jc w:val="both"/>
        <w:rPr>
          <w:rFonts w:ascii="Times New Roman" w:hAnsi="Times New Roman"/>
          <w:sz w:val="20"/>
          <w:szCs w:val="20"/>
        </w:rPr>
      </w:pPr>
      <w:r w:rsidRPr="00027D7E">
        <w:rPr>
          <w:rFonts w:ascii="Times New Roman" w:hAnsi="Times New Roman"/>
          <w:sz w:val="20"/>
          <w:szCs w:val="20"/>
        </w:rPr>
        <w:t xml:space="preserve"> - дефицит бюджета района составил 21768,4 тыс. рублей.       </w:t>
      </w:r>
    </w:p>
    <w:p w:rsidR="00027D7E" w:rsidRPr="00027D7E" w:rsidRDefault="00027D7E" w:rsidP="00027D7E">
      <w:pPr>
        <w:pStyle w:val="af1"/>
        <w:ind w:firstLine="426"/>
        <w:jc w:val="both"/>
        <w:rPr>
          <w:rFonts w:ascii="Times New Roman" w:hAnsi="Times New Roman"/>
          <w:sz w:val="20"/>
          <w:szCs w:val="20"/>
        </w:rPr>
      </w:pPr>
      <w:r w:rsidRPr="00027D7E">
        <w:rPr>
          <w:rFonts w:ascii="Times New Roman" w:hAnsi="Times New Roman"/>
          <w:sz w:val="20"/>
          <w:szCs w:val="20"/>
        </w:rPr>
        <w:t>Бюджет района сформирован и исполнен в 2023 году в программной структуре расходов. В целом на реализацию 42 муниципальных программ использовано 2360772,2тыс.рублей тыс. рублей или 94,2% расходов бюджета района.</w:t>
      </w:r>
    </w:p>
    <w:p w:rsidR="00027D7E" w:rsidRPr="00027D7E" w:rsidRDefault="00027D7E" w:rsidP="00027D7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Из резервного фонда Администрации Карталинского муниципального района в 2023 году произведены расходы на финансирование непредвиденных расходов в сумме -3405,0тыс.рублей, фактически израсходовано -3241,2тыс.рублей.</w:t>
      </w:r>
    </w:p>
    <w:p w:rsidR="00027D7E" w:rsidRPr="00027D7E" w:rsidRDefault="00027D7E" w:rsidP="00027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Проект решения Собрания депутатов Карталинского муниципального района «Об исполнении бюджета Карталинского муниципального района за 2023 год» и приложения к нему по перечню, установленному статьёй 264.6 Бюджетного кодекса РФ, соответствуют показателям годового отчета об исполнении бюджета муниципального образования «Карталинский муниципальный район» за 2023год, представленного в Контрольно-счетную палату для внешней проверки.</w:t>
      </w:r>
    </w:p>
    <w:p w:rsidR="00027D7E" w:rsidRPr="00027D7E" w:rsidRDefault="00027D7E" w:rsidP="00027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7D7E">
        <w:rPr>
          <w:rFonts w:ascii="Times New Roman" w:hAnsi="Times New Roman" w:cs="Times New Roman"/>
          <w:sz w:val="20"/>
          <w:szCs w:val="20"/>
        </w:rPr>
        <w:t>Показатели Годового отчета подтверждаются данными бюджетной отчетности главных администраторов бюджетных средств, проведенной экспертизой достоверность отчета об исполнении бюджета за 2023 год подтверждена.</w:t>
      </w:r>
    </w:p>
    <w:p w:rsidR="00E77BD5" w:rsidRPr="00E77BD5" w:rsidRDefault="00E77BD5" w:rsidP="00027D7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Проект решения Собрания депутатов Карталинского муниципального района «Об исполнении бюджета Карталинского муниципального района за 202</w:t>
      </w:r>
      <w:r w:rsidR="00027D7E">
        <w:rPr>
          <w:rFonts w:ascii="Times New Roman" w:hAnsi="Times New Roman" w:cs="Times New Roman"/>
          <w:sz w:val="20"/>
          <w:szCs w:val="20"/>
        </w:rPr>
        <w:t>3</w:t>
      </w:r>
      <w:r w:rsidRPr="00E77BD5">
        <w:rPr>
          <w:rFonts w:ascii="Times New Roman" w:hAnsi="Times New Roman" w:cs="Times New Roman"/>
          <w:sz w:val="20"/>
          <w:szCs w:val="20"/>
        </w:rPr>
        <w:t xml:space="preserve"> год» и приложения к нему по перечню, установленному статьёй 264.6 Бюджетного кодекса РФ, соответствуют показателям годового отчета об исполнении бюджета муниципального образования «Карталинский муниципальный район» за 202</w:t>
      </w:r>
      <w:r w:rsidR="00027D7E">
        <w:rPr>
          <w:rFonts w:ascii="Times New Roman" w:hAnsi="Times New Roman" w:cs="Times New Roman"/>
          <w:sz w:val="20"/>
          <w:szCs w:val="20"/>
        </w:rPr>
        <w:t>3</w:t>
      </w:r>
      <w:r w:rsidRPr="00E77BD5">
        <w:rPr>
          <w:rFonts w:ascii="Times New Roman" w:hAnsi="Times New Roman" w:cs="Times New Roman"/>
          <w:sz w:val="20"/>
          <w:szCs w:val="20"/>
        </w:rPr>
        <w:t>год, представленного в Контрольно-счетную палату для внешней проверки.</w:t>
      </w:r>
    </w:p>
    <w:p w:rsidR="00E77BD5" w:rsidRDefault="00E77BD5" w:rsidP="00027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Показатели Годового отчета подтверждаются данными бюджетной отчетности главных администраторов бюджетных средств, проведенной экспертизой достоверность отчета об исполнении бюджета за 202</w:t>
      </w:r>
      <w:r w:rsidR="001351CC">
        <w:rPr>
          <w:rFonts w:ascii="Times New Roman" w:hAnsi="Times New Roman" w:cs="Times New Roman"/>
          <w:sz w:val="20"/>
          <w:szCs w:val="20"/>
        </w:rPr>
        <w:t>3</w:t>
      </w:r>
      <w:r w:rsidRPr="00E77BD5">
        <w:rPr>
          <w:rFonts w:ascii="Times New Roman" w:hAnsi="Times New Roman" w:cs="Times New Roman"/>
          <w:sz w:val="20"/>
          <w:szCs w:val="20"/>
        </w:rPr>
        <w:t xml:space="preserve"> год подтверждена.</w:t>
      </w:r>
    </w:p>
    <w:p w:rsidR="005F55C8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С целью реализации основных направлений бюджетной и налоговой политики участники публичных слушаний рекомендуют:</w:t>
      </w:r>
    </w:p>
    <w:p w:rsidR="005F55C8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>Собранию депутатов Карталинского муниципального района:</w:t>
      </w:r>
    </w:p>
    <w:p w:rsidR="005F55C8" w:rsidRPr="00E77BD5" w:rsidRDefault="005F55C8" w:rsidP="000F43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1. Рассмотреть проект решения Собрания депутатов Карталинского муниципального района</w:t>
      </w:r>
      <w:r w:rsidR="00AB3677" w:rsidRPr="00E77BD5">
        <w:rPr>
          <w:rFonts w:ascii="Times New Roman" w:hAnsi="Times New Roman" w:cs="Times New Roman"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«Об исполнении бюджета Карталинского муниципального района</w:t>
      </w:r>
      <w:r w:rsidR="00E505F4">
        <w:rPr>
          <w:rFonts w:ascii="Times New Roman" w:hAnsi="Times New Roman" w:cs="Times New Roman"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за 20</w:t>
      </w:r>
      <w:r w:rsidR="007F3DC3" w:rsidRPr="00E77BD5">
        <w:rPr>
          <w:rFonts w:ascii="Times New Roman" w:hAnsi="Times New Roman" w:cs="Times New Roman"/>
          <w:sz w:val="20"/>
          <w:szCs w:val="20"/>
        </w:rPr>
        <w:t>2</w:t>
      </w:r>
      <w:r w:rsidR="00E505F4">
        <w:rPr>
          <w:rFonts w:ascii="Times New Roman" w:hAnsi="Times New Roman" w:cs="Times New Roman"/>
          <w:sz w:val="20"/>
          <w:szCs w:val="20"/>
        </w:rPr>
        <w:t>3</w:t>
      </w:r>
      <w:r w:rsidRPr="00E77BD5">
        <w:rPr>
          <w:rFonts w:ascii="Times New Roman" w:hAnsi="Times New Roman" w:cs="Times New Roman"/>
          <w:sz w:val="20"/>
          <w:szCs w:val="20"/>
        </w:rPr>
        <w:t xml:space="preserve"> год»</w:t>
      </w:r>
      <w:r w:rsidR="00E505F4">
        <w:rPr>
          <w:rFonts w:ascii="Times New Roman" w:hAnsi="Times New Roman" w:cs="Times New Roman"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и утвердить</w:t>
      </w:r>
      <w:r w:rsidR="00AB3677" w:rsidRPr="00E77BD5">
        <w:rPr>
          <w:rFonts w:ascii="Times New Roman" w:hAnsi="Times New Roman" w:cs="Times New Roman"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отчет об исполнении бюджета Карталинского муниципального района за 20</w:t>
      </w:r>
      <w:r w:rsidR="007F3DC3" w:rsidRPr="00E77BD5">
        <w:rPr>
          <w:rFonts w:ascii="Times New Roman" w:hAnsi="Times New Roman" w:cs="Times New Roman"/>
          <w:sz w:val="20"/>
          <w:szCs w:val="20"/>
        </w:rPr>
        <w:t>2</w:t>
      </w:r>
      <w:r w:rsidR="00E505F4">
        <w:rPr>
          <w:rFonts w:ascii="Times New Roman" w:hAnsi="Times New Roman" w:cs="Times New Roman"/>
          <w:sz w:val="20"/>
          <w:szCs w:val="20"/>
        </w:rPr>
        <w:t>3</w:t>
      </w:r>
      <w:r w:rsidRPr="00E77BD5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7F3DC3" w:rsidRPr="00E77BD5" w:rsidRDefault="007F3DC3" w:rsidP="000F43F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 xml:space="preserve">Главе Карталинского муниципального района: </w:t>
      </w:r>
    </w:p>
    <w:p w:rsidR="007F3DC3" w:rsidRPr="00E77BD5" w:rsidRDefault="001C407F" w:rsidP="000F43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1. </w:t>
      </w:r>
      <w:r w:rsidR="00E505F4" w:rsidRPr="00E505F4">
        <w:rPr>
          <w:rFonts w:ascii="Times New Roman" w:hAnsi="Times New Roman" w:cs="Times New Roman"/>
          <w:sz w:val="20"/>
          <w:szCs w:val="20"/>
        </w:rPr>
        <w:t xml:space="preserve">Продолжить работу в рамках деятельности рабочей группы, созданной постановлением администрации Карталинского муниципального района от 22.01.2021года №19 по обеспечению полноты и своевременности </w:t>
      </w:r>
      <w:r w:rsidR="00E505F4" w:rsidRPr="00E505F4">
        <w:rPr>
          <w:rFonts w:ascii="Times New Roman" w:hAnsi="Times New Roman" w:cs="Times New Roman"/>
          <w:sz w:val="20"/>
          <w:szCs w:val="20"/>
        </w:rPr>
        <w:lastRenderedPageBreak/>
        <w:t>поступлений налогов, сборов в районный бюджет, по сокращению задолженности организаций по налогам и сборам в районный бюджет</w:t>
      </w:r>
      <w:r w:rsidRPr="00E505F4">
        <w:rPr>
          <w:rFonts w:ascii="Times New Roman" w:hAnsi="Times New Roman" w:cs="Times New Roman"/>
          <w:sz w:val="20"/>
          <w:szCs w:val="20"/>
        </w:rPr>
        <w:t>.</w:t>
      </w:r>
    </w:p>
    <w:p w:rsidR="007F3DC3" w:rsidRPr="00E77BD5" w:rsidRDefault="007F3DC3" w:rsidP="000F43F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>Главным администраторам доходов районного бюджета: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505F4">
        <w:rPr>
          <w:rFonts w:ascii="Times New Roman" w:hAnsi="Times New Roman" w:cs="Times New Roman"/>
          <w:sz w:val="20"/>
          <w:szCs w:val="20"/>
        </w:rPr>
        <w:t>силить меры по неналоговым поступлениям в бюджет района путем сокращения дебиторской задолженности, получения дохода от распоряжения муниципальным имуществом (аренда, продажа), эффективного управления арендными отношениями муниципальной собственности;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505F4">
        <w:rPr>
          <w:rFonts w:ascii="Times New Roman" w:hAnsi="Times New Roman" w:cs="Times New Roman"/>
          <w:sz w:val="20"/>
          <w:szCs w:val="20"/>
        </w:rPr>
        <w:t xml:space="preserve">ринять меры: 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E505F4">
        <w:rPr>
          <w:rFonts w:ascii="Times New Roman" w:hAnsi="Times New Roman" w:cs="Times New Roman"/>
          <w:sz w:val="20"/>
          <w:szCs w:val="20"/>
        </w:rPr>
        <w:t xml:space="preserve"> по исполнению в полном объеме полномочий главного администратора доходов бюджета в части обеспечения поступления сумм по закрепленным видам доходов;</w:t>
      </w:r>
    </w:p>
    <w:p w:rsidR="007F3DC3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Pr="00E505F4">
        <w:rPr>
          <w:rFonts w:ascii="Times New Roman" w:hAnsi="Times New Roman" w:cs="Times New Roman"/>
          <w:sz w:val="20"/>
          <w:szCs w:val="20"/>
        </w:rPr>
        <w:t xml:space="preserve"> по сокращению задолженности по неналоговым платежам и мобилизации за счет этого дополнительных доходных источников бюджета района.</w:t>
      </w:r>
    </w:p>
    <w:p w:rsidR="007F3DC3" w:rsidRPr="00E77BD5" w:rsidRDefault="007F3DC3" w:rsidP="000F43F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>Главным распорядителям бюджетных средств: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E505F4">
        <w:rPr>
          <w:rFonts w:ascii="Times New Roman" w:hAnsi="Times New Roman" w:cs="Times New Roman"/>
          <w:sz w:val="20"/>
          <w:szCs w:val="20"/>
        </w:rPr>
        <w:t>сключить факты неэффективного использования бюджетных средств;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E505F4">
        <w:rPr>
          <w:rFonts w:ascii="Times New Roman" w:hAnsi="Times New Roman" w:cs="Times New Roman"/>
          <w:sz w:val="20"/>
          <w:szCs w:val="20"/>
        </w:rPr>
        <w:t xml:space="preserve">беспечить: 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E505F4">
        <w:rPr>
          <w:rFonts w:ascii="Times New Roman" w:hAnsi="Times New Roman" w:cs="Times New Roman"/>
          <w:sz w:val="20"/>
          <w:szCs w:val="20"/>
        </w:rPr>
        <w:t xml:space="preserve"> полное освоение межбюджетных трансфертов;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Pr="00E505F4">
        <w:rPr>
          <w:rFonts w:ascii="Times New Roman" w:hAnsi="Times New Roman" w:cs="Times New Roman"/>
          <w:sz w:val="20"/>
          <w:szCs w:val="20"/>
        </w:rPr>
        <w:t xml:space="preserve"> результативность использования средств бюджета района при формировании и исполнении муниципальных программ, усилить ведомственный контроль с целью достижения эффективного использования бюджетных средств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505F4">
        <w:rPr>
          <w:rFonts w:ascii="Times New Roman" w:hAnsi="Times New Roman" w:cs="Times New Roman"/>
          <w:sz w:val="20"/>
          <w:szCs w:val="20"/>
        </w:rPr>
        <w:t>ринять меры к возмещению дебиторской задолженности и недопущению просроченной задолженности;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4</w:t>
      </w:r>
      <w:r w:rsidR="001351CC"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 w:rsidR="001351CC">
        <w:rPr>
          <w:rFonts w:ascii="Times New Roman" w:hAnsi="Times New Roman" w:cs="Times New Roman"/>
          <w:sz w:val="20"/>
          <w:szCs w:val="20"/>
        </w:rPr>
        <w:t>А</w:t>
      </w:r>
      <w:r w:rsidRPr="00E505F4">
        <w:rPr>
          <w:rFonts w:ascii="Times New Roman" w:hAnsi="Times New Roman" w:cs="Times New Roman"/>
          <w:sz w:val="20"/>
          <w:szCs w:val="20"/>
        </w:rPr>
        <w:t>ктивизировать работу, направленную на сокращение объемов и количества незавершенного строительства и принятия в полном объеме мер по постановке на кадастровый учет и государственной регистрации права построенных и эксплуатируемых объектов капитального строительства.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5</w:t>
      </w:r>
      <w:r w:rsidR="001351CC"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 w:rsidR="001351CC">
        <w:rPr>
          <w:rFonts w:ascii="Times New Roman" w:hAnsi="Times New Roman" w:cs="Times New Roman"/>
          <w:sz w:val="20"/>
          <w:szCs w:val="20"/>
        </w:rPr>
        <w:t>У</w:t>
      </w:r>
      <w:r w:rsidRPr="00E505F4">
        <w:rPr>
          <w:rFonts w:ascii="Times New Roman" w:hAnsi="Times New Roman" w:cs="Times New Roman"/>
          <w:sz w:val="20"/>
          <w:szCs w:val="20"/>
        </w:rPr>
        <w:t>силить контроль за использованием средств субсидий подведомственными бюджетными учреждениями;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6</w:t>
      </w:r>
      <w:r w:rsidR="001351CC"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 w:rsidR="001351CC">
        <w:rPr>
          <w:rFonts w:ascii="Times New Roman" w:hAnsi="Times New Roman" w:cs="Times New Roman"/>
          <w:sz w:val="20"/>
          <w:szCs w:val="20"/>
        </w:rPr>
        <w:t>П</w:t>
      </w:r>
      <w:r w:rsidRPr="00E505F4">
        <w:rPr>
          <w:rFonts w:ascii="Times New Roman" w:hAnsi="Times New Roman" w:cs="Times New Roman"/>
          <w:sz w:val="20"/>
          <w:szCs w:val="20"/>
        </w:rPr>
        <w:t>ринять меры по оперативному устранению выявленных Контрольно-счетной палатой нарушений и недопущению их впредь.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7</w:t>
      </w:r>
      <w:r w:rsidR="001351CC"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 w:rsidR="001351CC">
        <w:rPr>
          <w:rFonts w:ascii="Times New Roman" w:hAnsi="Times New Roman" w:cs="Times New Roman"/>
          <w:sz w:val="20"/>
          <w:szCs w:val="20"/>
        </w:rPr>
        <w:t>П</w:t>
      </w:r>
      <w:r w:rsidRPr="00E505F4">
        <w:rPr>
          <w:rFonts w:ascii="Times New Roman" w:hAnsi="Times New Roman" w:cs="Times New Roman"/>
          <w:sz w:val="20"/>
          <w:szCs w:val="20"/>
        </w:rPr>
        <w:t>ринять меры по обеспечению соблюдения законодательства Российской Федерации при размещении заказов на поставку товаров, выполнение работ, оказание услуг для муниципальных нужд.</w:t>
      </w:r>
    </w:p>
    <w:p w:rsidR="00E505F4" w:rsidRPr="00E505F4" w:rsidRDefault="00E505F4" w:rsidP="00E50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8</w:t>
      </w:r>
      <w:r w:rsidR="001351CC"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 w:rsidR="001351CC">
        <w:rPr>
          <w:rFonts w:ascii="Times New Roman" w:hAnsi="Times New Roman" w:cs="Times New Roman"/>
          <w:sz w:val="20"/>
          <w:szCs w:val="20"/>
        </w:rPr>
        <w:t>У</w:t>
      </w:r>
      <w:r w:rsidRPr="00E505F4">
        <w:rPr>
          <w:rFonts w:ascii="Times New Roman" w:hAnsi="Times New Roman" w:cs="Times New Roman"/>
          <w:sz w:val="20"/>
          <w:szCs w:val="20"/>
        </w:rPr>
        <w:t>силить контроль за соблюдением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учреждениями.</w:t>
      </w:r>
    </w:p>
    <w:p w:rsidR="00304DAA" w:rsidRPr="00E505F4" w:rsidRDefault="00E505F4" w:rsidP="00E505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05F4">
        <w:rPr>
          <w:rFonts w:ascii="Times New Roman" w:hAnsi="Times New Roman" w:cs="Times New Roman"/>
          <w:sz w:val="20"/>
          <w:szCs w:val="20"/>
        </w:rPr>
        <w:t>9</w:t>
      </w:r>
      <w:r w:rsidR="001351CC">
        <w:rPr>
          <w:rFonts w:ascii="Times New Roman" w:hAnsi="Times New Roman" w:cs="Times New Roman"/>
          <w:sz w:val="20"/>
          <w:szCs w:val="20"/>
        </w:rPr>
        <w:t>.</w:t>
      </w:r>
      <w:r w:rsidRPr="00E505F4">
        <w:rPr>
          <w:rFonts w:ascii="Times New Roman" w:hAnsi="Times New Roman" w:cs="Times New Roman"/>
          <w:sz w:val="20"/>
          <w:szCs w:val="20"/>
        </w:rPr>
        <w:t xml:space="preserve"> </w:t>
      </w:r>
      <w:r w:rsidR="001351CC">
        <w:rPr>
          <w:rFonts w:ascii="Times New Roman" w:hAnsi="Times New Roman" w:cs="Times New Roman"/>
          <w:sz w:val="20"/>
          <w:szCs w:val="20"/>
        </w:rPr>
        <w:t>П</w:t>
      </w:r>
      <w:r w:rsidRPr="00E505F4">
        <w:rPr>
          <w:rFonts w:ascii="Times New Roman" w:hAnsi="Times New Roman" w:cs="Times New Roman"/>
          <w:sz w:val="20"/>
          <w:szCs w:val="20"/>
        </w:rPr>
        <w:t>родолжать работу по совершенствованию организации и осуществлению внутреннего финансового аудита, а также контроля за деятельностью подведомственных муниципальных учреждений.</w:t>
      </w:r>
    </w:p>
    <w:p w:rsidR="007F3DC3" w:rsidRDefault="007F3DC3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E60FA" w:rsidRPr="00E77BD5" w:rsidRDefault="00AE60FA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C407F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Председатель оргкомитета </w:t>
      </w:r>
      <w:r w:rsidR="007354A5" w:rsidRPr="00E77BD5"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E77BD5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C32E87" w:rsidRPr="00E77BD5">
        <w:rPr>
          <w:rFonts w:ascii="Times New Roman" w:hAnsi="Times New Roman" w:cs="Times New Roman"/>
          <w:sz w:val="20"/>
          <w:szCs w:val="20"/>
        </w:rPr>
        <w:t xml:space="preserve"> </w:t>
      </w:r>
      <w:r w:rsidR="00532AA1" w:rsidRPr="00E77BD5">
        <w:rPr>
          <w:rFonts w:ascii="Times New Roman" w:hAnsi="Times New Roman" w:cs="Times New Roman"/>
          <w:sz w:val="20"/>
          <w:szCs w:val="20"/>
        </w:rPr>
        <w:t>Е.Н. Слинкин</w:t>
      </w:r>
    </w:p>
    <w:p w:rsidR="005F55C8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0FA" w:rsidRPr="00E77BD5" w:rsidRDefault="00AE60FA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F16D9" w:rsidRPr="00E77BD5" w:rsidRDefault="005F55C8" w:rsidP="004F29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Секретарь оргкомитета                               ___________________ М. Ф. Бакатнюк</w:t>
      </w:r>
    </w:p>
    <w:sectPr w:rsidR="00BF16D9" w:rsidRPr="00E77BD5" w:rsidSect="004F2972">
      <w:pgSz w:w="11900" w:h="16800"/>
      <w:pgMar w:top="376" w:right="418" w:bottom="284" w:left="1418" w:header="142" w:footer="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65" w:rsidRDefault="005F6665" w:rsidP="007354A5">
      <w:pPr>
        <w:spacing w:after="0" w:line="240" w:lineRule="auto"/>
      </w:pPr>
      <w:r>
        <w:separator/>
      </w:r>
    </w:p>
  </w:endnote>
  <w:endnote w:type="continuationSeparator" w:id="1">
    <w:p w:rsidR="005F6665" w:rsidRDefault="005F6665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65" w:rsidRDefault="005F6665" w:rsidP="007354A5">
      <w:pPr>
        <w:spacing w:after="0" w:line="240" w:lineRule="auto"/>
      </w:pPr>
      <w:r>
        <w:separator/>
      </w:r>
    </w:p>
  </w:footnote>
  <w:footnote w:type="continuationSeparator" w:id="1">
    <w:p w:rsidR="005F6665" w:rsidRDefault="005F6665" w:rsidP="0073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2F"/>
    <w:multiLevelType w:val="hybridMultilevel"/>
    <w:tmpl w:val="FEA8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DE8"/>
    <w:multiLevelType w:val="hybridMultilevel"/>
    <w:tmpl w:val="09CC2B08"/>
    <w:lvl w:ilvl="0" w:tplc="2BD01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0247A13"/>
    <w:multiLevelType w:val="hybridMultilevel"/>
    <w:tmpl w:val="7A104C22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703FF"/>
    <w:multiLevelType w:val="hybridMultilevel"/>
    <w:tmpl w:val="E064D624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E0337"/>
    <w:multiLevelType w:val="hybridMultilevel"/>
    <w:tmpl w:val="55565804"/>
    <w:lvl w:ilvl="0" w:tplc="225A5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350D4"/>
    <w:multiLevelType w:val="hybridMultilevel"/>
    <w:tmpl w:val="36A021A6"/>
    <w:lvl w:ilvl="0" w:tplc="7962057E">
      <w:start w:val="1"/>
      <w:numFmt w:val="decimal"/>
      <w:lvlText w:val="%1)"/>
      <w:lvlJc w:val="left"/>
      <w:pPr>
        <w:ind w:left="1020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70F7D44"/>
    <w:multiLevelType w:val="hybridMultilevel"/>
    <w:tmpl w:val="D27C9158"/>
    <w:lvl w:ilvl="0" w:tplc="73C829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5409D0"/>
    <w:multiLevelType w:val="hybridMultilevel"/>
    <w:tmpl w:val="76228412"/>
    <w:lvl w:ilvl="0" w:tplc="4AD097C2">
      <w:start w:val="1"/>
      <w:numFmt w:val="decimal"/>
      <w:lvlText w:val="%1."/>
      <w:lvlJc w:val="left"/>
      <w:pPr>
        <w:ind w:left="984" w:hanging="552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A8D60B5"/>
    <w:multiLevelType w:val="hybridMultilevel"/>
    <w:tmpl w:val="29447B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65A49"/>
    <w:multiLevelType w:val="hybridMultilevel"/>
    <w:tmpl w:val="C5EA4224"/>
    <w:lvl w:ilvl="0" w:tplc="1C46312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76436"/>
    <w:multiLevelType w:val="hybridMultilevel"/>
    <w:tmpl w:val="1D0CB87E"/>
    <w:lvl w:ilvl="0" w:tplc="3EBC0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4D4CC2"/>
    <w:multiLevelType w:val="hybridMultilevel"/>
    <w:tmpl w:val="1C564E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CCC"/>
    <w:multiLevelType w:val="hybridMultilevel"/>
    <w:tmpl w:val="81A8897E"/>
    <w:lvl w:ilvl="0" w:tplc="1DF480B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D3923D1"/>
    <w:multiLevelType w:val="hybridMultilevel"/>
    <w:tmpl w:val="AE10434E"/>
    <w:lvl w:ilvl="0" w:tplc="65E67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1A12F4E"/>
    <w:multiLevelType w:val="hybridMultilevel"/>
    <w:tmpl w:val="514C3FFC"/>
    <w:lvl w:ilvl="0" w:tplc="19481CFC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69F22850"/>
    <w:multiLevelType w:val="hybridMultilevel"/>
    <w:tmpl w:val="8A602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A470B"/>
    <w:multiLevelType w:val="hybridMultilevel"/>
    <w:tmpl w:val="85F2027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B821A2"/>
    <w:multiLevelType w:val="hybridMultilevel"/>
    <w:tmpl w:val="2F900A40"/>
    <w:lvl w:ilvl="0" w:tplc="3AC2917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E380B53"/>
    <w:multiLevelType w:val="hybridMultilevel"/>
    <w:tmpl w:val="D6C4B940"/>
    <w:lvl w:ilvl="0" w:tplc="A07E80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0"/>
  </w:num>
  <w:num w:numId="8">
    <w:abstractNumId w:val="17"/>
  </w:num>
  <w:num w:numId="9">
    <w:abstractNumId w:val="18"/>
  </w:num>
  <w:num w:numId="10">
    <w:abstractNumId w:val="3"/>
  </w:num>
  <w:num w:numId="11">
    <w:abstractNumId w:val="2"/>
  </w:num>
  <w:num w:numId="12">
    <w:abstractNumId w:val="16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00198B"/>
    <w:rsid w:val="00007189"/>
    <w:rsid w:val="00027D7E"/>
    <w:rsid w:val="000317AC"/>
    <w:rsid w:val="00035DE2"/>
    <w:rsid w:val="00050146"/>
    <w:rsid w:val="00081092"/>
    <w:rsid w:val="000841FB"/>
    <w:rsid w:val="000C0E10"/>
    <w:rsid w:val="000D0052"/>
    <w:rsid w:val="000D1FD7"/>
    <w:rsid w:val="000F43F8"/>
    <w:rsid w:val="001351CC"/>
    <w:rsid w:val="00176D8A"/>
    <w:rsid w:val="001C407F"/>
    <w:rsid w:val="001C6C4F"/>
    <w:rsid w:val="0020230A"/>
    <w:rsid w:val="002478F1"/>
    <w:rsid w:val="00256234"/>
    <w:rsid w:val="00272589"/>
    <w:rsid w:val="002775D4"/>
    <w:rsid w:val="0028421C"/>
    <w:rsid w:val="002F3145"/>
    <w:rsid w:val="00304DAA"/>
    <w:rsid w:val="00311C33"/>
    <w:rsid w:val="00330EEE"/>
    <w:rsid w:val="003472C1"/>
    <w:rsid w:val="0037691D"/>
    <w:rsid w:val="00383D4B"/>
    <w:rsid w:val="003B508F"/>
    <w:rsid w:val="003C1CEA"/>
    <w:rsid w:val="004418E6"/>
    <w:rsid w:val="00475D3A"/>
    <w:rsid w:val="004A5089"/>
    <w:rsid w:val="004D4396"/>
    <w:rsid w:val="004F2972"/>
    <w:rsid w:val="00505614"/>
    <w:rsid w:val="00517AE0"/>
    <w:rsid w:val="00532AA1"/>
    <w:rsid w:val="005E40E2"/>
    <w:rsid w:val="005F55C8"/>
    <w:rsid w:val="005F6665"/>
    <w:rsid w:val="00614378"/>
    <w:rsid w:val="00630CE6"/>
    <w:rsid w:val="00634112"/>
    <w:rsid w:val="006470DD"/>
    <w:rsid w:val="00650C7D"/>
    <w:rsid w:val="00676CD4"/>
    <w:rsid w:val="006B38D3"/>
    <w:rsid w:val="006D035C"/>
    <w:rsid w:val="006E24BD"/>
    <w:rsid w:val="0072071A"/>
    <w:rsid w:val="007354A5"/>
    <w:rsid w:val="00737C92"/>
    <w:rsid w:val="007568F3"/>
    <w:rsid w:val="007A43EC"/>
    <w:rsid w:val="007D096A"/>
    <w:rsid w:val="007D7EFC"/>
    <w:rsid w:val="007F3DC3"/>
    <w:rsid w:val="008330A9"/>
    <w:rsid w:val="008B4901"/>
    <w:rsid w:val="008F61D2"/>
    <w:rsid w:val="009668DB"/>
    <w:rsid w:val="00970408"/>
    <w:rsid w:val="00A1249D"/>
    <w:rsid w:val="00A13BE3"/>
    <w:rsid w:val="00A62834"/>
    <w:rsid w:val="00AB3677"/>
    <w:rsid w:val="00AE2921"/>
    <w:rsid w:val="00AE60FA"/>
    <w:rsid w:val="00B10965"/>
    <w:rsid w:val="00B8562B"/>
    <w:rsid w:val="00B86AD8"/>
    <w:rsid w:val="00BA0CC0"/>
    <w:rsid w:val="00BC045D"/>
    <w:rsid w:val="00BC4052"/>
    <w:rsid w:val="00BD67C0"/>
    <w:rsid w:val="00BF16D9"/>
    <w:rsid w:val="00C11887"/>
    <w:rsid w:val="00C31188"/>
    <w:rsid w:val="00C32AF4"/>
    <w:rsid w:val="00C32E34"/>
    <w:rsid w:val="00C32E87"/>
    <w:rsid w:val="00C47B2C"/>
    <w:rsid w:val="00CC74CA"/>
    <w:rsid w:val="00D31B5B"/>
    <w:rsid w:val="00D45DD8"/>
    <w:rsid w:val="00D936C3"/>
    <w:rsid w:val="00DE0B2A"/>
    <w:rsid w:val="00E505F4"/>
    <w:rsid w:val="00E634F3"/>
    <w:rsid w:val="00E77BD5"/>
    <w:rsid w:val="00EA2222"/>
    <w:rsid w:val="00EB620C"/>
    <w:rsid w:val="00EC1262"/>
    <w:rsid w:val="00ED5CBE"/>
    <w:rsid w:val="00ED747D"/>
    <w:rsid w:val="00EE74B2"/>
    <w:rsid w:val="00F0474D"/>
    <w:rsid w:val="00F20885"/>
    <w:rsid w:val="00FC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rsid w:val="007354A5"/>
    <w:rPr>
      <w:vertAlign w:val="superscript"/>
    </w:rPr>
  </w:style>
  <w:style w:type="paragraph" w:styleId="a7">
    <w:name w:val="Normal (Web)"/>
    <w:basedOn w:val="a"/>
    <w:unhideWhenUsed/>
    <w:rsid w:val="00BF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83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83D4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383D4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383D4B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2">
    <w:name w:val="Основной текст 22"/>
    <w:basedOn w:val="a"/>
    <w:rsid w:val="004418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b">
    <w:name w:val="Emphasis"/>
    <w:qFormat/>
    <w:rsid w:val="0000198B"/>
    <w:rPr>
      <w:i/>
      <w:iCs/>
    </w:rPr>
  </w:style>
  <w:style w:type="character" w:styleId="ac">
    <w:name w:val="Hyperlink"/>
    <w:rsid w:val="00081092"/>
    <w:rPr>
      <w:color w:val="0563C1"/>
      <w:u w:val="single"/>
    </w:rPr>
  </w:style>
  <w:style w:type="paragraph" w:styleId="ad">
    <w:name w:val="header"/>
    <w:basedOn w:val="a"/>
    <w:link w:val="ae"/>
    <w:unhideWhenUsed/>
    <w:rsid w:val="004D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4D4396"/>
  </w:style>
  <w:style w:type="paragraph" w:styleId="af">
    <w:name w:val="footer"/>
    <w:basedOn w:val="a"/>
    <w:link w:val="af0"/>
    <w:unhideWhenUsed/>
    <w:rsid w:val="004D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396"/>
  </w:style>
  <w:style w:type="paragraph" w:styleId="af1">
    <w:name w:val="No Spacing"/>
    <w:uiPriority w:val="1"/>
    <w:qFormat/>
    <w:rsid w:val="00650C7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650C7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50C7D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page number"/>
    <w:basedOn w:val="a0"/>
    <w:rsid w:val="00650C7D"/>
  </w:style>
  <w:style w:type="table" w:styleId="af3">
    <w:name w:val="Table Grid"/>
    <w:basedOn w:val="a1"/>
    <w:rsid w:val="0065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3"/>
    <w:rsid w:val="00650C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1"/>
    <w:rsid w:val="00650C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0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650C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rsid w:val="00650C7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50C7D"/>
    <w:pPr>
      <w:widowControl w:val="0"/>
      <w:shd w:val="clear" w:color="auto" w:fill="FFFFFF"/>
      <w:spacing w:after="0" w:line="322" w:lineRule="exact"/>
      <w:ind w:hanging="300"/>
      <w:jc w:val="both"/>
    </w:pPr>
    <w:rPr>
      <w:sz w:val="28"/>
      <w:szCs w:val="28"/>
    </w:rPr>
  </w:style>
  <w:style w:type="character" w:customStyle="1" w:styleId="blk">
    <w:name w:val="blk"/>
    <w:basedOn w:val="a0"/>
    <w:rsid w:val="0065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8037E18AAD4109A71957AA26E8228441E4691CD6CCE4F9189697983936A21D5E0D302F1102u5r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7114</Words>
  <Characters>40553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2024-05-24T10:32:00Z</cp:lastPrinted>
  <dcterms:created xsi:type="dcterms:W3CDTF">2017-05-03T05:57:00Z</dcterms:created>
  <dcterms:modified xsi:type="dcterms:W3CDTF">2024-05-24T10:34:00Z</dcterms:modified>
</cp:coreProperties>
</file>